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/>
      </w:pPr>
      <w:r>
        <w:rPr>
          <w:rFonts w:ascii="PingFang SC" w:hAnsi="PingFang SC" w:eastAsia="PingFang SC"/>
          <w:b/>
          <w:color w:val="1F4E79"/>
          <w:sz w:val="40"/>
        </w:rPr>
        <w:t>优势账迁移说明</w:t>
      </w:r>
    </w:p>
    <w:p>
      <w:pPr>
        <w:spacing w:after="200"/>
      </w:pPr>
      <w:r>
        <w:rPr>
          <w:rFonts w:ascii="PingFang SC" w:hAnsi="PingFang SC" w:eastAsia="PingFang SC"/>
          <w:color w:val="5A5A5A"/>
          <w:sz w:val="22"/>
        </w:rPr>
        <w:t>同一套账，从压缩光搬到一般精密测量</w:t>
      </w:r>
    </w:p>
    <w:tbl>
      <w:tblPr>
        <w:tblW w:w="9412" w:type="dxa"/>
        <w:jc w:val="center"/>
        <w:tblLayout w:type="fixed"/>
        <w:tblCellMar>
          <w:top w:w="140" w:type="dxa"/>
          <w:left w:w="220" w:type="dxa"/>
          <w:bottom w:w="140" w:type="dxa"/>
          <w:right w:w="200" w:type="dxa"/>
        </w:tblCellMar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nil"/>
              <w:left w:val="single" w:sz="18" w:space="0" w:color="1F4E79"/>
              <w:bottom w:val="nil"/>
              <w:right w:val="nil"/>
            </w:tcBorders>
            <w:shd w:val="clear" w:color="auto" w:fill="EEF3F9"/>
          </w:tcPr>
          <w:p>
            <w:pPr>
              <w:spacing w:after="120"/>
            </w:pPr>
            <w:r>
              <w:rPr>
                <w:rFonts w:ascii="PingFang SC" w:hAnsi="PingFang SC" w:eastAsia="PingFang SC"/>
                <w:b/>
                <w:color w:val="1F4E79"/>
                <w:sz w:val="20"/>
              </w:rPr>
              <w:t>先说结论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同样 11.63% 的损耗，在经典链路里值 0.54 dB，在 10 dB 压缩里要吃掉 3.11 dB——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敏感度相差约 5.8 倍。这就是为什么量子链路必须先把账算清。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/>
                <w:color w:val="9C2700"/>
                <w:sz w:val="20"/>
              </w:rPr>
              <w:t>而记账的方法本身，与“量子”无关。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1  </w:t>
      </w:r>
      <w:r>
        <w:rPr>
          <w:rFonts w:ascii="PingFang SC" w:hAnsi="PingFang SC" w:eastAsia="PingFang SC"/>
          <w:b/>
          <w:color w:val="1F4E79"/>
          <w:sz w:val="26"/>
        </w:rPr>
        <w:t>什么时候能搬：三条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满足这三条，同一套账就能直接搬；缺一条，先改方法再谈搬。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① 乘性。</w:t>
      </w:r>
      <w:r>
        <w:rPr>
          <w:rFonts w:ascii="Times New Roman" w:hAnsi="Times New Roman" w:eastAsia="Songti SC"/>
          <w:b w:val="0"/>
          <w:color w:val="1A1A1A"/>
          <w:sz w:val="21"/>
        </w:rPr>
        <w:t>收益逐级乘一个保留比例，而不是逐级加减。光学损耗天然满足。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② 有地板。</w:t>
      </w:r>
      <w:r>
        <w:rPr>
          <w:rFonts w:ascii="Times New Roman" w:hAnsi="Times New Roman" w:eastAsia="Songti SC"/>
          <w:b w:val="0"/>
          <w:color w:val="1A1A1A"/>
          <w:sz w:val="21"/>
        </w:rPr>
        <w:t>收益降到某个基线以下就不再是收益——压缩是散粒噪声，经典是探测器噪声。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③ 可排序。</w:t>
      </w:r>
      <w:r>
        <w:rPr>
          <w:rFonts w:ascii="Times New Roman" w:hAnsi="Times New Roman" w:eastAsia="Songti SC"/>
          <w:b w:val="0"/>
          <w:color w:val="1A1A1A"/>
          <w:sz w:val="21"/>
        </w:rPr>
        <w:t>每级的可回收量能算出来，才能回答“该改哪一项”。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2  </w:t>
      </w:r>
      <w:r>
        <w:rPr>
          <w:rFonts w:ascii="PingFang SC" w:hAnsi="PingFang SC" w:eastAsia="PingFang SC"/>
          <w:b/>
          <w:color w:val="1F4E79"/>
          <w:sz w:val="26"/>
        </w:rPr>
        <w:t>映射表：四个场景，四个位置</w:t>
      </w:r>
    </w:p>
    <w:tbl>
      <w:tblPr>
        <w:tblW w:w="975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041"/>
        <w:gridCol w:w="2608"/>
        <w:gridCol w:w="3061"/>
        <w:gridCol w:w="2041"/>
      </w:tblGrid>
      <w:tr>
        <w:trPr>
          <w:cantSplit/>
          <w:tblHeader/>
        </w:trPr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场景</w:t>
            </w:r>
          </w:p>
        </w:tc>
        <w:tc>
          <w:tcPr>
            <w:tcW w:type="dxa" w:w="260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收益量</w:t>
            </w:r>
          </w:p>
        </w:tc>
        <w:tc>
          <w:tcPr>
            <w:tcW w:type="dxa" w:w="306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损耗项</w:t>
            </w:r>
          </w:p>
        </w:tc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地板（基线）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压缩光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对散粒噪声的方差比 V</w:t>
            </w:r>
          </w:p>
        </w:tc>
        <w:tc>
          <w:tcPr>
            <w:tcW w:type="dxa" w:w="306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光学 / 探测 / 几何三件套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V = 1（散粒噪声）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经典干涉 / 外差</w:t>
            </w:r>
          </w:p>
        </w:tc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信噪比 SNR</w:t>
            </w:r>
          </w:p>
        </w:tc>
        <w:tc>
          <w:tcPr>
            <w:tcW w:type="dxa" w:w="306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同一批光学损耗</w:t>
            </w:r>
          </w:p>
        </w:tc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探测器噪声底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光纤传感（DAS）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背散射信号功率</w:t>
            </w:r>
          </w:p>
        </w:tc>
        <w:tc>
          <w:tcPr>
            <w:tcW w:type="dxa" w:w="306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光纤衰减 + 端面 + 分光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探测器 NEP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激光雷达</w:t>
            </w:r>
          </w:p>
        </w:tc>
        <w:tc>
          <w:tcPr>
            <w:tcW w:type="dxa" w:w="2608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回波功率</w:t>
            </w:r>
          </w:p>
        </w:tc>
        <w:tc>
          <w:tcPr>
            <w:tcW w:type="dxa" w:w="306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发射 / 接收 / 距离平方律</w:t>
            </w:r>
          </w:p>
        </w:tc>
        <w:tc>
          <w:tcPr>
            <w:tcW w:type="dxa" w:w="204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探测器噪声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后两行只给结构对应，未给数值——各行业的损耗清单与噪声项不同，需按现场参数重填，不能直接套本文档里的数。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3  </w:t>
      </w:r>
      <w:r>
        <w:rPr>
          <w:rFonts w:ascii="PingFang SC" w:hAnsi="PingFang SC" w:eastAsia="PingFang SC"/>
          <w:b/>
          <w:color w:val="1F4E79"/>
          <w:sz w:val="26"/>
        </w:rPr>
        <w:t>一个算例：同一笔损耗，两种代价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取几何三件套：模式失配 3%、孔径 2%、端面 6.63%（裸石英两面）。合计 11.63%。</w:t>
      </w:r>
    </w:p>
    <w:tbl>
      <w:tblPr>
        <w:tblW w:w="975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835"/>
        <w:gridCol w:w="3969"/>
        <w:gridCol w:w="2948"/>
      </w:tblGrid>
      <w:tr>
        <w:trPr>
          <w:cantSplit/>
          <w:tblHeader/>
        </w:trPr>
        <w:tc>
          <w:tcPr>
            <w:tcW w:type="dxa" w:w="2835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链路类型</w:t>
            </w:r>
          </w:p>
        </w:tc>
        <w:tc>
          <w:tcPr>
            <w:tcW w:type="dxa" w:w="3969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换算方式</w:t>
            </w:r>
          </w:p>
        </w:tc>
        <w:tc>
          <w:tcPr>
            <w:tcW w:type="dxa" w:w="2948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代价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经典（SNR / 功率）</w:t>
            </w:r>
          </w:p>
        </w:tc>
        <w:tc>
          <w:tcPr>
            <w:tcW w:type="dxa" w:w="3969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−10·lg(1 − L)</w:t>
            </w:r>
          </w:p>
        </w:tc>
        <w:tc>
          <w:tcPr>
            <w:tcW w:type="dxa" w:w="294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0.54 dB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压缩光（10 dB 输入）</w:t>
            </w:r>
          </w:p>
        </w:tc>
        <w:tc>
          <w:tcPr>
            <w:tcW w:type="dxa" w:w="3969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代入 V_out 再换算</w:t>
            </w:r>
          </w:p>
        </w:tc>
        <w:tc>
          <w:tcPr>
            <w:tcW w:type="dxa" w:w="2948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3.11 dB（10 → 6.89）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/>
          <w:color w:val="1A1A1A"/>
          <w:sz w:val="21"/>
        </w:rPr>
        <w:t>为什么差这么多：</w:t>
      </w:r>
      <w:r>
        <w:rPr>
          <w:rFonts w:ascii="Times New Roman" w:hAnsi="Times New Roman" w:eastAsia="Songti SC"/>
          <w:b w:val="0"/>
          <w:color w:val="1A1A1A"/>
          <w:sz w:val="21"/>
        </w:rPr>
        <w:t>经典链路的收益是线性量，损耗是一个固定的百分比；压缩的收益本身就是相对散粒噪声的比值，损耗项 (1−η) 以加性形式混进分母附近，越接近地板，每一分损耗越贵。</w:t>
      </w:r>
    </w:p>
    <w:p>
      <w:pPr>
        <w:spacing w:before="80" w:after="160" w:line="312" w:lineRule="auto"/>
        <w:jc w:val="center"/>
      </w:pPr>
      <w:r>
        <w:rPr>
          <w:rFonts w:ascii="Cambria Math" w:hAnsi="Cambria Math" w:eastAsia="Songti SC"/>
          <w:color w:val="1A1A1A"/>
          <w:sz w:val="22"/>
        </w:rPr>
        <w:t>V_out = η·e^(−2r) + (1 − η)　；　Ae = −10·lg V_out</w:t>
      </w:r>
    </w:p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上式可看作两条曲线的差：优势随损耗下降得比线性更快。这一条对所有“以某一基线为参照”的收益量都成立。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4  </w:t>
      </w:r>
      <w:r>
        <w:rPr>
          <w:rFonts w:ascii="PingFang SC" w:hAnsi="PingFang SC" w:eastAsia="PingFang SC"/>
          <w:b/>
          <w:color w:val="1F4E79"/>
          <w:sz w:val="26"/>
        </w:rPr>
        <w:t>迁移时必改的三处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一、收益量的定义。</w:t>
      </w:r>
      <w:r>
        <w:rPr>
          <w:rFonts w:ascii="Times New Roman" w:hAnsi="Times New Roman" w:eastAsia="Songti SC"/>
          <w:b w:val="0"/>
          <w:color w:val="1A1A1A"/>
          <w:sz w:val="21"/>
        </w:rPr>
        <w:t>压缩是方差比，经典是信噪比，网络是速率。三者换算到 dB 的方式不同，契约里用 resource 字段标记（squeezing / snr / rate）。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二、地板的定义。</w:t>
      </w:r>
      <w:r>
        <w:rPr>
          <w:rFonts w:ascii="Times New Roman" w:hAnsi="Times New Roman" w:eastAsia="Songti SC"/>
          <w:b w:val="0"/>
          <w:color w:val="1A1A1A"/>
          <w:sz w:val="21"/>
        </w:rPr>
        <w:t>散粒噪声、探测器噪声、计数阈值——换了场景，地板就不是同一个东西，“距地板多远”这句话的含义也随之改变。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三、损耗清单。</w:t>
      </w:r>
      <w:r>
        <w:rPr>
          <w:rFonts w:ascii="Times New Roman" w:hAnsi="Times New Roman" w:eastAsia="Songti SC"/>
          <w:b w:val="0"/>
          <w:color w:val="1A1A1A"/>
          <w:sz w:val="21"/>
        </w:rPr>
        <w:t>几何三件套（失配、孔径、端面）可以原样搬；多模、光栅、放大器必须重写。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5  </w:t>
      </w:r>
      <w:r>
        <w:rPr>
          <w:rFonts w:ascii="PingFang SC" w:hAnsi="PingFang SC" w:eastAsia="PingFang SC"/>
          <w:b/>
          <w:color w:val="1F4E79"/>
          <w:sz w:val="26"/>
        </w:rPr>
        <w:t>不能直接搬的五种情形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有增益。</w:t>
      </w:r>
      <w:r>
        <w:rPr>
          <w:rFonts w:ascii="Times New Roman" w:hAnsi="Times New Roman" w:eastAsia="Songti SC"/>
          <w:b w:val="0"/>
          <w:color w:val="1A1A1A"/>
          <w:sz w:val="21"/>
        </w:rPr>
        <w:t>链路里含放大器时，链不再是乘性衰减，原始传递式失效——这与规范里“前置放大须另报”是同一条边界。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非线性。</w:t>
      </w:r>
      <w:r>
        <w:rPr>
          <w:rFonts w:ascii="Times New Roman" w:hAnsi="Times New Roman" w:eastAsia="Songti SC"/>
          <w:b w:val="0"/>
          <w:color w:val="1A1A1A"/>
          <w:sz w:val="21"/>
        </w:rPr>
        <w:t>受激散射、饱和、增益压缩，都会让“份额可乘”不再成立。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多模或相干性丢失。</w:t>
      </w:r>
      <w:r>
        <w:rPr>
          <w:rFonts w:ascii="Times New Roman" w:hAnsi="Times New Roman" w:eastAsia="Songti SC"/>
          <w:b w:val="0"/>
          <w:color w:val="1A1A1A"/>
          <w:sz w:val="21"/>
        </w:rPr>
        <w:t>重叠积分的对象必须是单一空间模；多模情形要改成模式矩阵。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收益量本身不是乘性。</w:t>
      </w:r>
      <w:r>
        <w:rPr>
          <w:rFonts w:ascii="Times New Roman" w:hAnsi="Times New Roman" w:eastAsia="Songti SC"/>
          <w:b w:val="0"/>
          <w:color w:val="1A1A1A"/>
          <w:sz w:val="21"/>
        </w:rPr>
        <w:t>例如依赖相位差而非幅度的方案，损耗以另一种方式进入，不能照搬。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自旋压缩：乘性成立，但换算律不同。</w:t>
      </w:r>
      <w:r>
        <w:rPr>
          <w:rFonts w:ascii="Times New Roman" w:hAnsi="Times New Roman" w:eastAsia="Songti SC"/>
          <w:b w:val="0"/>
          <w:color w:val="1A1A1A"/>
          <w:sz w:val="21"/>
        </w:rPr>
        <w:t>读出噪声以加性形式进入，ξ² → ξ² + N²(1−η)/(4η⟨J⟩²)，不是 ηV + (1−η)。按光场式算，修正量会低估一个量级以上——Bornet 2023 实测修正 1.2 dB，光场式只给 0.08 dB。详见《文献回检 Ⅱ》。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6  </w:t>
      </w:r>
      <w:r>
        <w:rPr>
          <w:rFonts w:ascii="PingFang SC" w:hAnsi="PingFang SC" w:eastAsia="PingFang SC"/>
          <w:b/>
          <w:color w:val="1F4E79"/>
          <w:sz w:val="26"/>
        </w:rPr>
        <w:t>迁移检查表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换一个行业前，先回答这五问；有一个答不上，就别急着改口径。</w:t>
      </w:r>
    </w:p>
    <w:tbl>
      <w:tblPr>
        <w:tblW w:w="975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680"/>
        <w:gridCol w:w="4876"/>
        <w:gridCol w:w="4195"/>
      </w:tblGrid>
      <w:tr>
        <w:trPr>
          <w:cantSplit/>
          <w:tblHeader/>
        </w:trPr>
        <w:tc>
          <w:tcPr>
            <w:tcW w:type="dxa" w:w="680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#</w:t>
            </w:r>
          </w:p>
        </w:tc>
        <w:tc>
          <w:tcPr>
            <w:tcW w:type="dxa" w:w="4876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问题</w:t>
            </w:r>
          </w:p>
        </w:tc>
        <w:tc>
          <w:tcPr>
            <w:tcW w:type="dxa" w:w="4195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答不上来的后果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1</w:t>
            </w:r>
          </w:p>
        </w:tc>
        <w:tc>
          <w:tcPr>
            <w:tcW w:type="dxa" w:w="4876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这个行业的“收益”是什么？相对什么基线？</w:t>
            </w:r>
          </w:p>
        </w:tc>
        <w:tc>
          <w:tcPr>
            <w:tcW w:type="dxa" w:w="419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地板定义错，判据全错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2</w:t>
            </w:r>
          </w:p>
        </w:tc>
        <w:tc>
          <w:tcPr>
            <w:tcW w:type="dxa" w:w="4876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损耗是不是逐级乘性？中间有没有放大？</w:t>
            </w:r>
          </w:p>
        </w:tc>
        <w:tc>
          <w:tcPr>
            <w:tcW w:type="dxa" w:w="4195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传递式失效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3</w:t>
            </w:r>
          </w:p>
        </w:tc>
        <w:tc>
          <w:tcPr>
            <w:tcW w:type="dxa" w:w="4876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哪些损耗能用几何算，哪些必须实测？</w:t>
            </w:r>
          </w:p>
        </w:tc>
        <w:tc>
          <w:tcPr>
            <w:tcW w:type="dxa" w:w="419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算出来的数不可信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4</w:t>
            </w:r>
          </w:p>
        </w:tc>
        <w:tc>
          <w:tcPr>
            <w:tcW w:type="dxa" w:w="4876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客户拿这个数去做什么决定？</w:t>
            </w:r>
          </w:p>
        </w:tc>
        <w:tc>
          <w:tcPr>
            <w:tcW w:type="dxa" w:w="4195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工具对了，但没人用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5</w:t>
            </w:r>
          </w:p>
        </w:tc>
        <w:tc>
          <w:tcPr>
            <w:tcW w:type="dxa" w:w="4876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出错时谁来承担？</w:t>
            </w:r>
          </w:p>
        </w:tc>
        <w:tc>
          <w:tcPr>
            <w:tcW w:type="dxa" w:w="4195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不能出证书，只能出参考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7  </w:t>
      </w:r>
      <w:r>
        <w:rPr>
          <w:rFonts w:ascii="PingFang SC" w:hAnsi="PingFang SC" w:eastAsia="PingFang SC"/>
          <w:b/>
          <w:color w:val="1F4E79"/>
          <w:sz w:val="26"/>
        </w:rPr>
        <w:t>先做哪个行业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判据只有一条：几何项在该行业损耗清单里占的比重越高，我们能带来的增量越大。</w:t>
      </w:r>
    </w:p>
    <w:tbl>
      <w:tblPr>
        <w:tblW w:w="1043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927"/>
        <w:gridCol w:w="2608"/>
        <w:gridCol w:w="1701"/>
        <w:gridCol w:w="2268"/>
        <w:gridCol w:w="1927"/>
      </w:tblGrid>
      <w:tr>
        <w:trPr>
          <w:cantSplit/>
          <w:tblHeader/>
        </w:trPr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候选</w:t>
            </w:r>
          </w:p>
        </w:tc>
        <w:tc>
          <w:tcPr>
            <w:tcW w:type="dxa" w:w="260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几何项占比</w:t>
            </w:r>
          </w:p>
        </w:tc>
        <w:tc>
          <w:tcPr>
            <w:tcW w:type="dxa" w:w="170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付费方</w:t>
            </w:r>
          </w:p>
        </w:tc>
        <w:tc>
          <w:tcPr>
            <w:tcW w:type="dxa" w:w="226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行业现有口径</w:t>
            </w:r>
          </w:p>
        </w:tc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结论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光纤传感 / DAS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高（端面、耦合、分光）</w:t>
            </w:r>
          </w:p>
        </w:tc>
        <w:tc>
          <w:tcPr>
            <w:tcW w:type="dxa" w:w="170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工程方明确</w:t>
            </w:r>
          </w:p>
        </w:tc>
        <w:tc>
          <w:tcPr>
            <w:tcW w:type="dxa" w:w="226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有链路预算习惯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先做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激光雷达</w:t>
            </w:r>
          </w:p>
        </w:tc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高（收发模场、孔径）</w:t>
            </w:r>
          </w:p>
        </w:tc>
        <w:tc>
          <w:tcPr>
            <w:tcW w:type="dxa" w:w="170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工程方明确</w:t>
            </w:r>
          </w:p>
        </w:tc>
        <w:tc>
          <w:tcPr>
            <w:tcW w:type="dxa" w:w="226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有 link budget</w:t>
            </w:r>
          </w:p>
        </w:tc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次之，竞争多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OCT / 医学影像</w:t>
            </w:r>
          </w:p>
        </w:tc>
        <w:tc>
          <w:tcPr>
            <w:tcW w:type="dxa" w:w="260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中（共聚焦孔径）</w:t>
            </w:r>
          </w:p>
        </w:tc>
        <w:tc>
          <w:tcPr>
            <w:tcW w:type="dxa" w:w="170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设备商明确</w:t>
            </w:r>
          </w:p>
        </w:tc>
        <w:tc>
          <w:tcPr>
            <w:tcW w:type="dxa" w:w="226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口径较弱</w:t>
            </w:r>
          </w:p>
        </w:tc>
        <w:tc>
          <w:tcPr>
            <w:tcW w:type="dxa" w:w="192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第三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三行都是判断而非实测：几何占比由损耗清单结构估计，付费方由采购形态估计。真要做，选一个行业跑通一次完整核算再回头修正这张表。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8  </w:t>
      </w:r>
      <w:r>
        <w:rPr>
          <w:rFonts w:ascii="PingFang SC" w:hAnsi="PingFang SC" w:eastAsia="PingFang SC"/>
          <w:b/>
          <w:color w:val="1F4E79"/>
          <w:sz w:val="26"/>
        </w:rPr>
        <w:t>复现</w:t>
      </w:r>
    </w:p>
    <w:tbl>
      <w:tblPr>
        <w:tblW w:w="9185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360"/>
        <w:gridCol w:w="7824"/>
      </w:tblGrid>
      <w:tr>
        <w:trPr>
          <w:cantSplit/>
          <w:tblHeader/>
        </w:trPr>
        <w:tc>
          <w:tcPr>
            <w:tcW w:type="dxa" w:w="136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项</w:t>
            </w:r>
          </w:p>
        </w:tc>
        <w:tc>
          <w:tcPr>
            <w:tcW w:type="dxa" w:w="7824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版本</w:t>
            </w:r>
          </w:p>
        </w:tc>
        <w:tc>
          <w:tcPr>
            <w:tcW w:type="dxa" w:w="782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geomloss 0.2.0 · 契约 schema geomloss/1</w:t>
            </w:r>
          </w:p>
        </w:tc>
      </w:tr>
      <w:tr>
        <w:trPr>
          <w:cantSplit/>
        </w:trPr>
        <w:tc>
          <w:tcPr>
            <w:tcW w:type="dxa" w:w="136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换算</w:t>
            </w:r>
          </w:p>
        </w:tc>
        <w:tc>
          <w:tcPr>
            <w:tcW w:type="dxa" w:w="7824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contract.attenuation_db(L) → 经典 dB；contract.eff_db(L, r) → 压缩 dB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命令</w:t>
            </w:r>
          </w:p>
        </w:tc>
        <w:tc>
          <w:tcPr>
            <w:tcW w:type="dxa" w:w="782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python3 -m geomloss budget --mm 0.03 --ap 0.02 --fiber 0.0663 --r 10 --resource snr</w:t>
            </w:r>
          </w:p>
        </w:tc>
      </w:tr>
      <w:tr>
        <w:trPr>
          <w:cantSplit/>
        </w:trPr>
        <w:tc>
          <w:tcPr>
            <w:tcW w:type="dxa" w:w="136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回归</w:t>
            </w:r>
          </w:p>
        </w:tc>
        <w:tc>
          <w:tcPr>
            <w:tcW w:type="dxa" w:w="7824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python3 tests_geomloss.py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Songti SC"/>
        <w:color w:val="5A5A5A"/>
        <w:sz w:val="16"/>
      </w:rPr>
      <w:t>理论落地 · 优势账迁移说明 · 2026-10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Songti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