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/>
      </w:pPr>
      <w:r>
        <w:rPr>
          <w:rFonts w:ascii="PingFang SC" w:hAnsi="PingFang SC" w:eastAsia="PingFang SC"/>
          <w:b/>
          <w:color w:val="1F4E79"/>
          <w:sz w:val="40"/>
        </w:rPr>
        <w:t>几何公差反推表</w:t>
      </w:r>
    </w:p>
    <w:p>
      <w:pPr>
        <w:spacing w:after="200"/>
      </w:pPr>
      <w:r>
        <w:rPr>
          <w:rFonts w:ascii="PingFang SC" w:hAnsi="PingFang SC" w:eastAsia="PingFang SC"/>
          <w:color w:val="5A5A5A"/>
          <w:sz w:val="22"/>
        </w:rPr>
        <w:t>从「允许多少损耗」到「公差能放到多松」</w:t>
      </w:r>
    </w:p>
    <w:tbl>
      <w:tblPr>
        <w:tblW w:w="9412" w:type="dxa"/>
        <w:jc w:val="center"/>
        <w:tblLayout w:type="fixed"/>
        <w:tblCellMar>
          <w:top w:w="140" w:type="dxa"/>
          <w:left w:w="220" w:type="dxa"/>
          <w:bottom w:w="140" w:type="dxa"/>
          <w:right w:w="200" w:type="dxa"/>
        </w:tblCellMar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nil"/>
              <w:left w:val="single" w:sz="18" w:space="0" w:color="1F4E79"/>
              <w:bottom w:val="nil"/>
              <w:right w:val="nil"/>
            </w:tcBorders>
            <w:shd w:val="clear" w:color="auto" w:fill="EEF3F9"/>
          </w:tcPr>
          <w:p>
            <w:pPr>
              <w:spacing w:after="120"/>
            </w:pPr>
            <w:r>
              <w:rPr>
                <w:rFonts w:ascii="PingFang SC" w:hAnsi="PingFang SC" w:eastAsia="PingFang SC"/>
                <w:b/>
                <w:color w:val="1F4E79"/>
                <w:sz w:val="20"/>
              </w:rPr>
              <w:t>怎么用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先定这条链路允许多少损耗，再查表得到每一维的公差上限。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表里的绝对量可以直接标在图纸上；d/w 与 a/w 是与波长无关的通用判据。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/>
                <w:color w:val="9C2700"/>
                <w:sz w:val="20"/>
              </w:rPr>
              <w:t>全部由 geomloss 0.1.0 计算，命令附在末页，结果可复算。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1  </w:t>
      </w:r>
      <w:r>
        <w:rPr>
          <w:rFonts w:ascii="PingFang SC" w:hAnsi="PingFang SC" w:eastAsia="PingFang SC"/>
          <w:b/>
          <w:color w:val="1F4E79"/>
          <w:sz w:val="26"/>
        </w:rPr>
        <w:t>自由空间链路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取 1064 nm、光斑半径 w = 1 mm。这是光学平台上最常见的量级。</w:t>
      </w:r>
    </w:p>
    <w:tbl>
      <w:tblPr>
        <w:tblW w:w="10319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474"/>
        <w:gridCol w:w="1927"/>
        <w:gridCol w:w="1247"/>
        <w:gridCol w:w="1814"/>
        <w:gridCol w:w="2041"/>
        <w:gridCol w:w="1814"/>
      </w:tblGrid>
      <w:tr>
        <w:trPr>
          <w:cantSplit/>
          <w:tblHeader/>
        </w:trPr>
        <w:tc>
          <w:tcPr>
            <w:tcW w:type="dxa" w:w="1474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允许损耗</w:t>
            </w:r>
          </w:p>
        </w:tc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横向偏移 d</w:t>
            </w:r>
          </w:p>
        </w:tc>
        <w:tc>
          <w:tcPr>
            <w:tcW w:type="dxa" w:w="1247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d / w</w:t>
            </w:r>
          </w:p>
        </w:tc>
        <w:tc>
          <w:tcPr>
            <w:tcW w:type="dxa" w:w="1814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夹角 θ</w:t>
            </w:r>
          </w:p>
        </w:tc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腰斑比 w₂/w₁</w:t>
            </w:r>
          </w:p>
        </w:tc>
        <w:tc>
          <w:tcPr>
            <w:tcW w:type="dxa" w:w="1814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孔径 a / w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0.5%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70.8 μm</w:t>
            </w:r>
          </w:p>
        </w:tc>
        <w:tc>
          <w:tcPr>
            <w:tcW w:type="dxa" w:w="1247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0.071</w:t>
            </w:r>
          </w:p>
        </w:tc>
        <w:tc>
          <w:tcPr>
            <w:tcW w:type="dxa" w:w="1814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24.0 μrad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0.932 – 1.073</w:t>
            </w:r>
          </w:p>
        </w:tc>
        <w:tc>
          <w:tcPr>
            <w:tcW w:type="dxa" w:w="1814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≥ 1.628</w:t>
            </w:r>
          </w:p>
        </w:tc>
      </w:tr>
      <w:tr>
        <w:trPr>
          <w:cantSplit/>
        </w:trPr>
        <w:tc>
          <w:tcPr>
            <w:tcW w:type="dxa" w:w="1474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1.0%</w:t>
            </w:r>
          </w:p>
        </w:tc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100.3 μm</w:t>
            </w:r>
          </w:p>
        </w:tc>
        <w:tc>
          <w:tcPr>
            <w:tcW w:type="dxa" w:w="1247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0.100</w:t>
            </w:r>
          </w:p>
        </w:tc>
        <w:tc>
          <w:tcPr>
            <w:tcW w:type="dxa" w:w="1814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34.0 μrad</w:t>
            </w:r>
          </w:p>
        </w:tc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0.905 – 1.106</w:t>
            </w:r>
          </w:p>
        </w:tc>
        <w:tc>
          <w:tcPr>
            <w:tcW w:type="dxa" w:w="1814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≥ 1.517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2.0%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142.1 μm</w:t>
            </w:r>
          </w:p>
        </w:tc>
        <w:tc>
          <w:tcPr>
            <w:tcW w:type="dxa" w:w="1247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0.142</w:t>
            </w:r>
          </w:p>
        </w:tc>
        <w:tc>
          <w:tcPr>
            <w:tcW w:type="dxa" w:w="1814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48.1 μrad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0.867 – 1.153</w:t>
            </w:r>
          </w:p>
        </w:tc>
        <w:tc>
          <w:tcPr>
            <w:tcW w:type="dxa" w:w="1814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≥ 1.399</w:t>
            </w:r>
          </w:p>
        </w:tc>
      </w:tr>
      <w:tr>
        <w:trPr>
          <w:cantSplit/>
        </w:trPr>
        <w:tc>
          <w:tcPr>
            <w:tcW w:type="dxa" w:w="1474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5.0%</w:t>
            </w:r>
          </w:p>
        </w:tc>
        <w:tc>
          <w:tcPr>
            <w:tcW w:type="dxa" w:w="1928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226.5 μm</w:t>
            </w:r>
          </w:p>
        </w:tc>
        <w:tc>
          <w:tcPr>
            <w:tcW w:type="dxa" w:w="1247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0.226</w:t>
            </w:r>
          </w:p>
        </w:tc>
        <w:tc>
          <w:tcPr>
            <w:tcW w:type="dxa" w:w="1814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76.7 μrad</w:t>
            </w:r>
          </w:p>
        </w:tc>
        <w:tc>
          <w:tcPr>
            <w:tcW w:type="dxa" w:w="2041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0.797 – 1.255</w:t>
            </w:r>
          </w:p>
        </w:tc>
        <w:tc>
          <w:tcPr>
            <w:tcW w:type="dxa" w:w="1814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≥ 1.224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预算放宽十倍（0.5% → 5%），偏移只放宽三倍——不是线性关系。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2  </w:t>
      </w:r>
      <w:r>
        <w:rPr>
          <w:rFonts w:ascii="PingFang SC" w:hAnsi="PingFang SC" w:eastAsia="PingFang SC"/>
          <w:b/>
          <w:color w:val="1F4E79"/>
          <w:sz w:val="26"/>
        </w:rPr>
        <w:t>光纤链路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color w:val="1A1A1A"/>
          <w:sz w:val="21"/>
        </w:rPr>
        <w:t>取 1550 nm、模场半径 w = 5.2 μm（SMF-28，MFD ≈ 10.4 μm）。</w:t>
      </w:r>
      <w:r>
        <w:rPr>
          <w:rFonts w:ascii="Times New Roman" w:hAnsi="Times New Roman" w:eastAsia="Songti SC"/>
          <w:b/>
          <w:color w:val="1A1A1A"/>
          <w:sz w:val="21"/>
        </w:rPr>
        <w:t>注意这一节的损耗不含端面反射</w:t>
      </w:r>
      <w:r>
        <w:rPr>
          <w:rFonts w:ascii="Times New Roman" w:hAnsi="Times New Roman" w:eastAsia="Songti SC"/>
          <w:b w:val="0"/>
          <w:color w:val="1A1A1A"/>
          <w:sz w:val="21"/>
        </w:rPr>
        <w:t>，反射另算，见第三节。</w:t>
      </w:r>
    </w:p>
    <w:tbl>
      <w:tblPr>
        <w:tblW w:w="1043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474"/>
        <w:gridCol w:w="1927"/>
        <w:gridCol w:w="1247"/>
        <w:gridCol w:w="1927"/>
        <w:gridCol w:w="2041"/>
        <w:gridCol w:w="1814"/>
      </w:tblGrid>
      <w:tr>
        <w:trPr>
          <w:cantSplit/>
          <w:tblHeader/>
        </w:trPr>
        <w:tc>
          <w:tcPr>
            <w:tcW w:type="dxa" w:w="1474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允许损耗</w:t>
            </w:r>
          </w:p>
        </w:tc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横向偏移 d</w:t>
            </w:r>
          </w:p>
        </w:tc>
        <w:tc>
          <w:tcPr>
            <w:tcW w:type="dxa" w:w="1247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d / w</w:t>
            </w:r>
          </w:p>
        </w:tc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夹角 θ</w:t>
            </w:r>
          </w:p>
        </w:tc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腰斑比 w₂/w₁</w:t>
            </w:r>
          </w:p>
        </w:tc>
        <w:tc>
          <w:tcPr>
            <w:tcW w:type="dxa" w:w="1814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孔径 a / w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0.5%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0.368 μm</w:t>
            </w:r>
          </w:p>
        </w:tc>
        <w:tc>
          <w:tcPr>
            <w:tcW w:type="dxa" w:w="1247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0.071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6 718 μrad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0.932 – 1.073</w:t>
            </w:r>
          </w:p>
        </w:tc>
        <w:tc>
          <w:tcPr>
            <w:tcW w:type="dxa" w:w="1814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≥ 1.628</w:t>
            </w:r>
          </w:p>
        </w:tc>
      </w:tr>
      <w:tr>
        <w:trPr>
          <w:cantSplit/>
        </w:trPr>
        <w:tc>
          <w:tcPr>
            <w:tcW w:type="dxa" w:w="1474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1.0%</w:t>
            </w:r>
          </w:p>
        </w:tc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0.521 μm</w:t>
            </w:r>
          </w:p>
        </w:tc>
        <w:tc>
          <w:tcPr>
            <w:tcW w:type="dxa" w:w="1247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0.100</w:t>
            </w:r>
          </w:p>
        </w:tc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9 512 μrad</w:t>
            </w:r>
          </w:p>
        </w:tc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0.905 – 1.106</w:t>
            </w:r>
          </w:p>
        </w:tc>
        <w:tc>
          <w:tcPr>
            <w:tcW w:type="dxa" w:w="1814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≥ 1.517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2.0%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0.739 μm</w:t>
            </w:r>
          </w:p>
        </w:tc>
        <w:tc>
          <w:tcPr>
            <w:tcW w:type="dxa" w:w="1247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0.142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13 486 μrad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0.867 – 1.153</w:t>
            </w:r>
          </w:p>
        </w:tc>
        <w:tc>
          <w:tcPr>
            <w:tcW w:type="dxa" w:w="1814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≥ 1.399</w:t>
            </w:r>
          </w:p>
        </w:tc>
      </w:tr>
      <w:tr>
        <w:trPr>
          <w:cantSplit/>
        </w:trPr>
        <w:tc>
          <w:tcPr>
            <w:tcW w:type="dxa" w:w="1474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5.0%</w:t>
            </w:r>
          </w:p>
        </w:tc>
        <w:tc>
          <w:tcPr>
            <w:tcW w:type="dxa" w:w="1928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1.178 μm</w:t>
            </w:r>
          </w:p>
        </w:tc>
        <w:tc>
          <w:tcPr>
            <w:tcW w:type="dxa" w:w="1247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0.226</w:t>
            </w:r>
          </w:p>
        </w:tc>
        <w:tc>
          <w:tcPr>
            <w:tcW w:type="dxa" w:w="1928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21 489 μrad</w:t>
            </w:r>
          </w:p>
        </w:tc>
        <w:tc>
          <w:tcPr>
            <w:tcW w:type="dxa" w:w="2041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0.797 – 1.255</w:t>
            </w:r>
          </w:p>
        </w:tc>
        <w:tc>
          <w:tcPr>
            <w:tcW w:type="dxa" w:w="1814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≥ 1.224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d/w 与 a/w 两列与第一节逐行相同：这两列是纯几何判据，与波长、口径无关，换 w 只乘倍数。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3  </w:t>
      </w:r>
      <w:r>
        <w:rPr>
          <w:rFonts w:ascii="PingFang SC" w:hAnsi="PingFang SC" w:eastAsia="PingFang SC"/>
          <w:b/>
          <w:color w:val="1F4E79"/>
          <w:sz w:val="26"/>
        </w:rPr>
        <w:t>端面预算：先扣反射，再分对准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光纤对接时，Fresnel 反射先吃掉一块，剩下的才是对准能用的。这一步最容易被漏掉。</w:t>
      </w:r>
    </w:p>
    <w:tbl>
      <w:tblPr>
        <w:tblW w:w="10999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948"/>
        <w:gridCol w:w="1360"/>
        <w:gridCol w:w="1587"/>
        <w:gridCol w:w="1814"/>
        <w:gridCol w:w="1587"/>
        <w:gridCol w:w="1701"/>
      </w:tblGrid>
      <w:tr>
        <w:trPr>
          <w:cantSplit/>
          <w:tblHeader/>
        </w:trPr>
        <w:tc>
          <w:tcPr>
            <w:tcW w:type="dxa" w:w="294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端面状态</w:t>
            </w:r>
          </w:p>
        </w:tc>
        <w:tc>
          <w:tcPr>
            <w:tcW w:type="dxa" w:w="136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预算</w:t>
            </w:r>
          </w:p>
        </w:tc>
        <w:tc>
          <w:tcPr>
            <w:tcW w:type="dxa" w:w="1587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反射损耗</w:t>
            </w:r>
          </w:p>
        </w:tc>
        <w:tc>
          <w:tcPr>
            <w:tcW w:type="dxa" w:w="1814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剩余给对准</w:t>
            </w:r>
          </w:p>
        </w:tc>
        <w:tc>
          <w:tcPr>
            <w:tcW w:type="dxa" w:w="1587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对应 d</w:t>
            </w:r>
          </w:p>
        </w:tc>
        <w:tc>
          <w:tcPr>
            <w:tcW w:type="dxa" w:w="1701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对应 θ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已镀膜（R = 0.2%，两面）</w:t>
            </w:r>
          </w:p>
        </w:tc>
        <w:tc>
          <w:tcPr>
            <w:tcW w:type="dxa" w:w="136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L ≤ 1%</w:t>
            </w:r>
          </w:p>
        </w:tc>
        <w:tc>
          <w:tcPr>
            <w:tcW w:type="dxa" w:w="1587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0.40%</w:t>
            </w:r>
          </w:p>
        </w:tc>
        <w:tc>
          <w:tcPr>
            <w:tcW w:type="dxa" w:w="1814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0.60%</w:t>
            </w:r>
          </w:p>
        </w:tc>
        <w:tc>
          <w:tcPr>
            <w:tcW w:type="dxa" w:w="1587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0.404 μm</w:t>
            </w:r>
          </w:p>
        </w:tc>
        <w:tc>
          <w:tcPr>
            <w:tcW w:type="dxa" w:w="170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7.38 mrad</w:t>
            </w:r>
          </w:p>
        </w:tc>
      </w:tr>
      <w:tr>
        <w:trPr>
          <w:cantSplit/>
        </w:trPr>
        <w:tc>
          <w:tcPr>
            <w:tcW w:type="dxa" w:w="294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已镀膜（R = 0.2%，两面）</w:t>
            </w:r>
          </w:p>
        </w:tc>
        <w:tc>
          <w:tcPr>
            <w:tcW w:type="dxa" w:w="136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L ≤ 5%</w:t>
            </w:r>
          </w:p>
        </w:tc>
        <w:tc>
          <w:tcPr>
            <w:tcW w:type="dxa" w:w="1587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0.40%</w:t>
            </w:r>
          </w:p>
        </w:tc>
        <w:tc>
          <w:tcPr>
            <w:tcW w:type="dxa" w:w="1814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4.60%</w:t>
            </w:r>
          </w:p>
        </w:tc>
        <w:tc>
          <w:tcPr>
            <w:tcW w:type="dxa" w:w="1587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1.131 μm</w:t>
            </w:r>
          </w:p>
        </w:tc>
        <w:tc>
          <w:tcPr>
            <w:tcW w:type="dxa" w:w="1701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20.6 mrad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裸端面（n = 1.45，两面）</w:t>
            </w:r>
          </w:p>
        </w:tc>
        <w:tc>
          <w:tcPr>
            <w:tcW w:type="dxa" w:w="136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L ≤ 1%</w:t>
            </w:r>
          </w:p>
        </w:tc>
        <w:tc>
          <w:tcPr>
            <w:tcW w:type="dxa" w:w="1587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6.63%</w:t>
            </w:r>
          </w:p>
        </w:tc>
        <w:tc>
          <w:tcPr>
            <w:tcW w:type="dxa" w:w="1814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已超预算</w:t>
            </w:r>
          </w:p>
        </w:tc>
        <w:tc>
          <w:tcPr>
            <w:tcW w:type="dxa" w:w="1587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—</w:t>
            </w:r>
          </w:p>
        </w:tc>
        <w:tc>
          <w:tcPr>
            <w:tcW w:type="dxa" w:w="170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—</w:t>
            </w:r>
          </w:p>
        </w:tc>
      </w:tr>
      <w:tr>
        <w:trPr>
          <w:cantSplit/>
        </w:trPr>
        <w:tc>
          <w:tcPr>
            <w:tcW w:type="dxa" w:w="2948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裸端面（n = 1.45，两面）</w:t>
            </w:r>
          </w:p>
        </w:tc>
        <w:tc>
          <w:tcPr>
            <w:tcW w:type="dxa" w:w="136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L ≤ 5%</w:t>
            </w:r>
          </w:p>
        </w:tc>
        <w:tc>
          <w:tcPr>
            <w:tcW w:type="dxa" w:w="1587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6.63%</w:t>
            </w:r>
          </w:p>
        </w:tc>
        <w:tc>
          <w:tcPr>
            <w:tcW w:type="dxa" w:w="1814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已超预算</w:t>
            </w:r>
          </w:p>
        </w:tc>
        <w:tc>
          <w:tcPr>
            <w:tcW w:type="dxa" w:w="1587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—</w:t>
            </w:r>
          </w:p>
        </w:tc>
        <w:tc>
          <w:tcPr>
            <w:tcW w:type="dxa" w:w="1701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—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/>
          <w:color w:val="1A1A1A"/>
          <w:sz w:val="21"/>
        </w:rPr>
        <w:t>0.3 dB 那一档的连接器指标几乎全是 Fresnel，不是对准。</w:t>
      </w:r>
      <w:r>
        <w:rPr>
          <w:rFonts w:ascii="Times New Roman" w:hAnsi="Times New Roman" w:eastAsia="Songti SC"/>
          <w:b w:val="0"/>
          <w:color w:val="1A1A1A"/>
          <w:sz w:val="21"/>
        </w:rPr>
        <w:t>要把损耗压到 1% 以下，第一笔钱该花在镀膜，而不是更贵的调整架。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4  </w:t>
      </w:r>
      <w:r>
        <w:rPr>
          <w:rFonts w:ascii="PingFang SC" w:hAnsi="PingFang SC" w:eastAsia="PingFang SC"/>
          <w:b/>
          <w:color w:val="1F4E79"/>
          <w:sz w:val="26"/>
        </w:rPr>
        <w:t>三条使用规则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① 先扣固定项。</w:t>
      </w:r>
      <w:r>
        <w:rPr>
          <w:rFonts w:ascii="Times New Roman" w:hAnsi="Times New Roman" w:eastAsia="Songti SC"/>
          <w:b w:val="0"/>
          <w:color w:val="1A1A1A"/>
          <w:sz w:val="21"/>
        </w:rPr>
        <w:t>与对准无关的损耗（反射、吸收）先减掉，剩下的才是公差预算。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② 按份额相加，不按 dB。</w:t>
      </w:r>
      <w:r>
        <w:rPr>
          <w:rFonts w:ascii="Times New Roman" w:hAnsi="Times New Roman" w:eastAsia="Songti SC"/>
          <w:b w:val="0"/>
          <w:color w:val="1A1A1A"/>
          <w:sz w:val="21"/>
        </w:rPr>
        <w:t>两项各 1% 合起来是 2%，不是 2 dB。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③ θ 是小角近似。</w:t>
      </w:r>
      <w:r>
        <w:rPr>
          <w:rFonts w:ascii="Times New Roman" w:hAnsi="Times New Roman" w:eastAsia="Songti SC"/>
          <w:b w:val="0"/>
          <w:color w:val="1A1A1A"/>
          <w:sz w:val="21"/>
        </w:rPr>
        <w:t>超过 10 mrad 时应改用精确重叠积分，误差约 1%。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5  </w:t>
      </w:r>
      <w:r>
        <w:rPr>
          <w:rFonts w:ascii="PingFang SC" w:hAnsi="PingFang SC" w:eastAsia="PingFang SC"/>
          <w:b/>
          <w:color w:val="1F4E79"/>
          <w:sz w:val="26"/>
        </w:rPr>
        <w:t>边界与复现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只覆盖高斯模、线性损耗、小角近似。不含像差、非高斯模、湍流、多模、光栅耦合器——这些需数值重叠积分，接口已留在包里，适用范围另议。</w:t>
      </w:r>
    </w:p>
    <w:tbl>
      <w:tblPr>
        <w:tblW w:w="9185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360"/>
        <w:gridCol w:w="7824"/>
      </w:tblGrid>
      <w:tr>
        <w:trPr>
          <w:cantSplit/>
          <w:tblHeader/>
        </w:trPr>
        <w:tc>
          <w:tcPr>
            <w:tcW w:type="dxa" w:w="136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项</w:t>
            </w:r>
          </w:p>
        </w:tc>
        <w:tc>
          <w:tcPr>
            <w:tcW w:type="dxa" w:w="7824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来源</w:t>
            </w:r>
          </w:p>
        </w:tc>
        <w:tc>
          <w:tcPr>
            <w:tcW w:type="dxa" w:w="782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geomloss 0.1.0 · tolerance.table()</w:t>
            </w:r>
          </w:p>
        </w:tc>
      </w:tr>
      <w:tr>
        <w:trPr>
          <w:cantSplit/>
        </w:trPr>
        <w:tc>
          <w:tcPr>
            <w:tcW w:type="dxa" w:w="136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命令</w:t>
            </w:r>
          </w:p>
        </w:tc>
        <w:tc>
          <w:tcPr>
            <w:tcW w:type="dxa" w:w="7824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python3 -m geomloss tol --w 1e-3 --wavelength 1064e-9 --L 0.005 0.01 0.02 0.05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回归</w:t>
            </w:r>
          </w:p>
        </w:tc>
        <w:tc>
          <w:tcPr>
            <w:tcW w:type="dxa" w:w="782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python3 tests_geomloss.py（全部通过）</w:t>
            </w:r>
          </w:p>
        </w:tc>
      </w:tr>
      <w:tr>
        <w:trPr>
          <w:cantSplit/>
        </w:trPr>
        <w:tc>
          <w:tcPr>
            <w:tcW w:type="dxa" w:w="136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版本</w:t>
            </w:r>
          </w:p>
        </w:tc>
        <w:tc>
          <w:tcPr>
            <w:tcW w:type="dxa" w:w="7824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2026-10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Songti SC"/>
        <w:color w:val="5A5A5A"/>
        <w:sz w:val="16"/>
      </w:rPr>
      <w:t>理论落地 · 几何公差反推表 · 2026-10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Songti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