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rFonts w:ascii="PingFang SC" w:hAnsi="PingFang SC" w:eastAsia="PingFang SC"/>
          <w:b/>
          <w:color w:val="1F4E79"/>
          <w:sz w:val="44"/>
        </w:rPr>
        <w:t>噪声预算核验证书</w:t>
      </w:r>
    </w:p>
    <w:p>
      <w:pPr>
        <w:spacing w:after="200"/>
      </w:pPr>
      <w:r>
        <w:rPr>
          <w:rFonts w:ascii="PingFang SC" w:hAnsi="PingFang SC" w:eastAsia="PingFang SC"/>
          <w:color w:val="5A5A5A"/>
          <w:sz w:val="22"/>
        </w:rPr>
        <w:t>样例 · 二级（复算级）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7371"/>
      </w:tblGrid>
      <w:tr>
        <w:trPr>
          <w:cantSplit/>
          <w:tblHeader/>
        </w:trPr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项</w:t>
            </w:r>
          </w:p>
        </w:tc>
        <w:tc>
          <w:tcPr>
            <w:tcW w:type="dxa" w:w="7370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证书编号</w:t>
            </w:r>
          </w:p>
        </w:tc>
        <w:tc>
          <w:tcPr>
            <w:tcW w:type="dxa" w:w="737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NBV-2026-0002（样例）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核验对象</w:t>
            </w:r>
          </w:p>
        </w:tc>
        <w:tc>
          <w:tcPr>
            <w:tcW w:type="dxa" w:w="737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连续变量压缩光源链路（1064 nm）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数据来源</w:t>
            </w:r>
          </w:p>
        </w:tc>
        <w:tc>
          <w:tcPr>
            <w:tcW w:type="dxa" w:w="737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Vahlbruch et al., Phys. Rev. Lett. 117, 110801 (2016)；arXiv:2411.07379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依据</w:t>
            </w:r>
          </w:p>
        </w:tc>
        <w:tc>
          <w:tcPr>
            <w:tcW w:type="dxa" w:w="737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《量子测量链路噪声预算核验规范》草案 §7、§8.1、§9.2；附录 D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符合性等级</w:t>
            </w:r>
          </w:p>
        </w:tc>
        <w:tc>
          <w:tcPr>
            <w:tcW w:type="dxa" w:w="737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二级（复算级）：附数据文件与复算脚本，第三方可逐点复现，相对偏差 ≤ 10⁻⁶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出具日期</w:t>
            </w:r>
          </w:p>
        </w:tc>
        <w:tc>
          <w:tcPr>
            <w:tcW w:type="dxa" w:w="7370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2026-10-24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本证书为格式样例，数据取自公开发表文献；对象名称按样例要求简化。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结论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在「总探测效率 97.5%、读出 15.3 dB 压缩」这组公开数值下，反解得到源压缩度 </w:t>
      </w:r>
      <w:r>
        <w:rPr>
          <w:rFonts w:ascii="Times New Roman" w:hAnsi="Times New Roman" w:eastAsia="Songti SC"/>
          <w:b/>
          <w:color w:val="1A1A1A"/>
          <w:sz w:val="21"/>
        </w:rPr>
        <w:t>23.35 dB</w:t>
      </w:r>
      <w:r>
        <w:rPr>
          <w:rFonts w:ascii="Times New Roman" w:hAnsi="Times New Roman" w:eastAsia="Songti SC"/>
          <w:b w:val="0"/>
          <w:color w:val="1A1A1A"/>
          <w:sz w:val="21"/>
        </w:rPr>
        <w:t>，链路损耗 L = 0.025，即 η = 0.975。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该链路的地板为 </w:t>
      </w:r>
      <w:r>
        <w:rPr>
          <w:rFonts w:ascii="Times New Roman" w:hAnsi="Times New Roman" w:eastAsia="Songti SC"/>
          <w:b/>
          <w:color w:val="1A1A1A"/>
          <w:sz w:val="21"/>
        </w:rPr>
        <w:t>Ae,max = 16.02 dB</w:t>
      </w:r>
      <w:r>
        <w:rPr>
          <w:rFonts w:ascii="Times New Roman" w:hAnsi="Times New Roman" w:eastAsia="Songti SC"/>
          <w:b w:val="0"/>
          <w:color w:val="1A1A1A"/>
          <w:sz w:val="21"/>
        </w:rPr>
        <w:t>，实测 15.3 dB 距地板 0.72 dB。也就是说：即使把源压缩度提到无穷大，读出端最多也只能再多 0.72 dB。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一句话结论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2.5% 的损耗吃掉了 8.05 dB，而这条链路已贴着它自己的地板。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要进一步只能降损耗；2.5% 的分解里没有一项是几何能改的，全部是材料与器件。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算账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计算只用下式与论文给出的两个数值，无自由参数。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V = η·e^(−2r) + (1 − η)　；　Ae = −10·lg V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1"/>
        </w:rPr>
        <w:t>反解：V_sq = (V_out − (1 − η)) / η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1247"/>
        <w:gridCol w:w="2041"/>
        <w:gridCol w:w="4195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1247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符号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8"/>
              </w:rPr>
              <w:t>取值</w:t>
            </w:r>
          </w:p>
        </w:tc>
        <w:tc>
          <w:tcPr>
            <w:tcW w:type="dxa" w:w="419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来源 / 算法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总探测效率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η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0.975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论文（损耗 2.5%）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读出压缩度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Ae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15.3 dB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论文直接测量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读出端方差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V_out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0.0295121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10^(−15.3/10)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源方差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V_sq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0.0046278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反解式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源压缩度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r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23.3463 dB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−10·lg V_sq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损耗地板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Ae,max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16.0206 dB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−10·lg(1−η)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距地板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8"/>
              </w:rPr>
              <w:t>0.7206 dB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地板 − 实测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被损耗吃掉</w:t>
            </w:r>
          </w:p>
        </w:tc>
        <w:tc>
          <w:tcPr>
            <w:tcW w:type="dxa" w:w="1247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8"/>
              </w:rPr>
              <w:t>8.0463 dB</w:t>
            </w:r>
          </w:p>
        </w:tc>
        <w:tc>
          <w:tcPr>
            <w:tcW w:type="dxa" w:w="419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源 − 读出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交叉检验：一个参数，两个观测量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单点反解只有拟合意义。二级（复算级）因此要求再做一项检验：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>用论文另一组数据（压缩 10.0 dB、反压缩 11.0 dB）反推源方差，再把同一个 V_sq 代回正演，同时预测两条曲线。</w:t>
      </w:r>
    </w:p>
    <w:tbl>
      <w:tblPr>
        <w:tblW w:w="850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2268"/>
        <w:gridCol w:w="2268"/>
        <w:gridCol w:w="1927"/>
      </w:tblGrid>
      <w:tr>
        <w:trPr>
          <w:cantSplit/>
          <w:tblHeader/>
        </w:trPr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量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本证书正演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论文报告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差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压缩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10.00 dB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10.0 dB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0.00 dB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反压缩</w:t>
            </w:r>
          </w:p>
        </w:tc>
        <w:tc>
          <w:tcPr>
            <w:tcW w:type="dxa" w:w="226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11.04 dB</w:t>
            </w:r>
          </w:p>
        </w:tc>
        <w:tc>
          <w:tcPr>
            <w:tcW w:type="dxa" w:w="226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11.0 dB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+0.04 dB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一个参数同时复现两条曲线，偏差 </w:t>
      </w:r>
      <w:r>
        <w:rPr>
          <w:rFonts w:ascii="Times New Roman" w:hAnsi="Times New Roman" w:eastAsia="Songti SC"/>
          <w:b/>
          <w:color w:val="1A1A1A"/>
          <w:sz w:val="21"/>
        </w:rPr>
        <w:t>≤ 0.05 dB</w:t>
      </w:r>
      <w:r>
        <w:rPr>
          <w:rFonts w:ascii="Times New Roman" w:hAnsi="Times New Roman" w:eastAsia="Songti SC"/>
          <w:b w:val="0"/>
          <w:color w:val="1A1A1A"/>
          <w:sz w:val="21"/>
        </w:rPr>
        <w:t>。这构成本证书的核验基础：结论不是「拟合得上」，而是「换一组数据仍然对得上」。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边界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只覆盖高斯态、线性损耗、单参数相位估计。</w:t>
      </w:r>
      <w:r>
        <w:rPr>
          <w:rFonts w:ascii="Times New Roman" w:hAnsi="Times New Roman" w:eastAsia="Songti SC"/>
          <w:b w:val="0"/>
          <w:color w:val="1A1A1A"/>
          <w:sz w:val="21"/>
        </w:rPr>
        <w:t>非高斯、光子计数、多参数估计不适用本式。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模型不含相位噪声。</w:t>
      </w:r>
      <w:r>
        <w:rPr>
          <w:rFonts w:ascii="Times New Roman" w:hAnsi="Times New Roman" w:eastAsia="Songti SC"/>
          <w:b w:val="0"/>
          <w:color w:val="1A1A1A"/>
          <w:sz w:val="21"/>
        </w:rPr>
        <w:t>在 10 dB 量级误差 &lt; 0.05 dB；15 dB 以上会显著，届时须改用含 θ_pn 的完整式。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损耗未分项。</w:t>
      </w:r>
      <w:r>
        <w:rPr>
          <w:rFonts w:ascii="Times New Roman" w:hAnsi="Times New Roman" w:eastAsia="Songti SC"/>
          <w:b w:val="0"/>
          <w:color w:val="1A1A1A"/>
          <w:sz w:val="21"/>
        </w:rPr>
        <w:t>本证书只用聚合值 2.5%，未分解到各器件；分项需原始记录，故不给出改进排序。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数据取自公开文献，未取得原始数据。</w:t>
      </w:r>
      <w:r>
        <w:rPr>
          <w:rFonts w:ascii="Times New Roman" w:hAnsi="Times New Roman" w:eastAsia="Songti SC"/>
          <w:b w:val="0"/>
          <w:color w:val="1A1A1A"/>
          <w:sz w:val="21"/>
        </w:rPr>
        <w:t>若原始记录与本文不一致，以原始记录为准并重新出具。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复现包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按 §9.2，随证书交付下列三个文件；Python 3 + numpy 环境即可复现，无需专有软件与网络。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5443"/>
        <w:gridCol w:w="2041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文件</w:t>
            </w:r>
          </w:p>
        </w:tc>
        <w:tc>
          <w:tcPr>
            <w:tcW w:type="dxa" w:w="5443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规格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contract.json</w:t>
            </w:r>
          </w:p>
        </w:tc>
        <w:tc>
          <w:tcPr>
            <w:tcW w:type="dxa" w:w="5443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输入、反解结果、版本戳；格式见附录 D.3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JSON，约 1 KB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repro.py</w:t>
            </w:r>
          </w:p>
        </w:tc>
        <w:tc>
          <w:tcPr>
            <w:tcW w:type="dxa" w:w="5443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复算并逐项比对，输出 PASS / FAIL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Python，仅 numpy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expected.txt</w:t>
            </w:r>
          </w:p>
        </w:tc>
        <w:tc>
          <w:tcPr>
            <w:tcW w:type="dxa" w:w="5443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期望值与容差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纯文本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复现命令：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19"/>
        </w:rPr>
        <w:t>python3 repro.py --check contract.json expected.txt</w:t>
        <w:br/>
        <w:t># 全部匹配打印 PASS 并返回 0；任一项超差打印 FAIL 并返回 1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期望输出见表 5.1，容差列即 §9.2 的判定阈值。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1247"/>
        <w:gridCol w:w="2381"/>
        <w:gridCol w:w="3402"/>
      </w:tblGrid>
      <w:tr>
        <w:trPr>
          <w:cantSplit/>
          <w:tblHeader/>
        </w:trPr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1247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符号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期望值</w:t>
            </w:r>
          </w:p>
        </w:tc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容差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读出端方差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V_out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0.0295121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源方差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V_sq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0.0046278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源压缩度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r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23.3463 dB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损耗地板</w:t>
            </w:r>
          </w:p>
        </w:tc>
        <w:tc>
          <w:tcPr>
            <w:tcW w:type="dxa" w:w="124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Ae_max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16.0206 dB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交叉检验 · 压缩</w:t>
            </w:r>
          </w:p>
        </w:tc>
        <w:tc>
          <w:tcPr>
            <w:tcW w:type="dxa" w:w="124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Ae10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10.0000 dB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交叉检验 · 反压缩</w:t>
            </w:r>
          </w:p>
        </w:tc>
        <w:tc>
          <w:tcPr>
            <w:tcW w:type="dxa" w:w="1247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A_anti</w:t>
            </w:r>
          </w:p>
        </w:tc>
        <w:tc>
          <w:tcPr>
            <w:tcW w:type="dxa" w:w="238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11.0380 dB</w:t>
            </w:r>
          </w:p>
        </w:tc>
        <w:tc>
          <w:tcPr>
            <w:tcW w:type="dxa" w:w="3402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1e-6 相对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contract.json 摘要（完整文件随证书交付）：</w:t>
      </w:r>
    </w:p>
    <w:p>
      <w:pPr>
        <w:spacing w:before="40" w:after="160" w:line="300" w:lineRule="auto"/>
        <w:ind w:left="170"/>
      </w:pPr>
      <w:r>
        <w:rPr>
          <w:rFonts w:ascii="Menlo" w:hAnsi="Menlo" w:eastAsia="Songti SC"/>
          <w:color w:val="1A1A1A"/>
          <w:sz w:val="16"/>
        </w:rPr>
        <w:t>{</w:t>
        <w:br/>
        <w:t xml:space="preserve">  "schema": "geomloss/1",   "version": "0.2.2",</w:t>
        <w:br/>
        <w:t xml:space="preserve">  "L": {"mm": null, "ap": null, "fiber": null, "tail": null, "device": 0.0250},</w:t>
        <w:br/>
        <w:t xml:space="preserve">  "total_known": 0.0250,   "complete": false,</w:t>
        <w:br/>
        <w:t xml:space="preserve">  "applicable": true,   "resource": "squeezing",</w:t>
        <w:br/>
        <w:t xml:space="preserve">  "inputs": {"eta": 0.975, "ae_db": 15.3, "cross_check_db": [10.0, 11.0]}</w:t>
        <w:br/>
        <w:t>}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除 device 外各项均为 null：反解只给聚合损耗，未分解到失配、孔径、传输、截断。按附录 D.3，未计算的项写 null 而不写 0。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条款对应</w:t>
      </w:r>
    </w:p>
    <w:tbl>
      <w:tblPr>
        <w:tblW w:w="941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701"/>
        <w:gridCol w:w="1814"/>
        <w:gridCol w:w="5896"/>
      </w:tblGrid>
      <w:tr>
        <w:trPr>
          <w:cantSplit/>
          <w:tblHeader/>
        </w:trPr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本证书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规范条款</w:t>
            </w:r>
          </w:p>
        </w:tc>
        <w:tc>
          <w:tcPr>
            <w:tcW w:type="dxa" w:w="5896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要求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 结论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§10.2</w:t>
            </w:r>
          </w:p>
        </w:tc>
        <w:tc>
          <w:tcPr>
            <w:tcW w:type="dxa" w:w="5896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结论为可判定陈述，含条件与数值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 算账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§7、§8.1</w:t>
            </w:r>
          </w:p>
        </w:tc>
        <w:tc>
          <w:tcPr>
            <w:tcW w:type="dxa" w:w="5896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最小披露集与传递式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3 交叉检验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§9.2</w:t>
            </w:r>
          </w:p>
        </w:tc>
        <w:tc>
          <w:tcPr>
            <w:tcW w:type="dxa" w:w="5896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复算级要求可逐点复现，非单点拟合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4 边界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§10.4</w:t>
            </w:r>
          </w:p>
        </w:tc>
        <w:tc>
          <w:tcPr>
            <w:tcW w:type="dxa" w:w="5896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明示未覆盖的效应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5 复现包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§9.2</w:t>
            </w:r>
          </w:p>
        </w:tc>
        <w:tc>
          <w:tcPr>
            <w:tcW w:type="dxa" w:w="5896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数据与脚本齐备，偏差 ≤ 10⁻⁶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5 契约</w:t>
            </w:r>
          </w:p>
        </w:tc>
        <w:tc>
          <w:tcPr>
            <w:tcW w:type="dxa" w:w="181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附录 D.3</w:t>
            </w:r>
          </w:p>
        </w:tc>
        <w:tc>
          <w:tcPr>
            <w:tcW w:type="dxa" w:w="5896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字段约定与「写 null 不写 0」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7  </w:t>
      </w:r>
      <w:r>
        <w:rPr>
          <w:rFonts w:ascii="PingFang SC" w:hAnsi="PingFang SC" w:eastAsia="PingFang SC"/>
          <w:b/>
          <w:color w:val="1F4E79"/>
          <w:sz w:val="26"/>
        </w:rPr>
        <w:t>核验清单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两项输入（η、Ae）均由公开文献给出，未作推断或补齐。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反解值落在 0–1 之间（闭合），本式适用；链路不含前置放大，不触发 §8.1.3。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交叉检验用另一组数据（10.0 / 11.0 dB），一参数复现两条曲线，偏差 ≤ 0.05 dB。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第 4 节已列明未覆盖效应，并说明损耗未分项。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复现包三件齐备，可独立运行，不依赖专有软件与网络。</w:t>
      </w:r>
    </w:p>
    <w:p>
      <w:pPr>
        <w:spacing w:before="20" w:after="60" w:line="324" w:lineRule="auto"/>
        <w:ind w:left="510" w:hanging="510"/>
      </w:pPr>
      <w:r>
        <w:rPr>
          <w:rFonts w:ascii="PingFang SC" w:hAnsi="PingFang SC" w:eastAsia="PingFang SC"/>
          <w:sz w:val="22"/>
        </w:rPr>
        <w:t xml:space="preserve">□  </w:t>
      </w:r>
      <w:r>
        <w:rPr>
          <w:rFonts w:ascii="Songti SC" w:hAnsi="Songti SC" w:eastAsia="Songti SC"/>
          <w:sz w:val="20"/>
        </w:rPr>
        <w:t>数据取自公开文献，未使用任何未公开数据。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三级（复核级）还需：</w:t>
      </w:r>
      <w:r>
        <w:rPr>
          <w:rFonts w:ascii="Times New Roman" w:hAnsi="Times New Roman" w:eastAsia="Songti SC"/>
          <w:b w:val="0"/>
          <w:color w:val="1A1A1A"/>
          <w:sz w:val="21"/>
        </w:rPr>
        <w:t>原始记录、独立复核人、复核日期与签署（§9.3）。缺任一项，本证书最高只能到二级。</w:t>
      </w:r>
    </w:p>
    <w:p>
      <w:pPr>
        <w:spacing w:before="240"/>
      </w:pPr>
      <w:r>
        <w:rPr>
          <w:rFonts w:ascii="Songti SC" w:hAnsi="Songti SC" w:eastAsia="Songti SC"/>
          <w:sz w:val="19"/>
        </w:rPr>
        <w:t>核验人：______________          复核人：______________          日期：______________</w:t>
      </w:r>
    </w:p>
    <w:p>
      <w:pPr>
        <w:spacing w:before="160"/>
      </w:pPr>
      <w:r>
        <w:rPr>
          <w:rFonts w:ascii="Songti SC" w:hAnsi="Songti SC" w:eastAsia="Songti SC"/>
          <w:color w:val="5A5A5A"/>
          <w:sz w:val="17"/>
        </w:rPr>
        <w:t>本证书按《量子测量链路噪声预算核验规范》出具。证书只陈述由所报数据可复算的结论；凡不可复算者，均已在第 4 节列为边界。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噪声预算核验证书（样例·二级）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