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40"/>
      </w:pPr>
      <w:r>
        <w:rPr>
          <w:rFonts w:ascii="PingFang SC" w:hAnsi="PingFang SC" w:eastAsia="PingFang SC"/>
          <w:b/>
          <w:color w:val="1F4E79"/>
          <w:sz w:val="38"/>
        </w:rPr>
        <w:t>文献回检 Ⅱ：自旋压缩的检测误差</w:t>
      </w:r>
    </w:p>
    <w:p>
      <w:pPr>
        <w:spacing w:after="160"/>
      </w:pPr>
      <w:r>
        <w:rPr>
          <w:rFonts w:ascii="PingFang SC" w:hAnsi="PingFang SC" w:eastAsia="PingFang SC"/>
          <w:color w:val="5A5A5A"/>
          <w:sz w:val="20"/>
        </w:rPr>
        <w:t>Bornet et al., Nature 621, 728 (2023)；arXiv:2303.08053</w:t>
      </w:r>
    </w:p>
    <w:tbl>
      <w:tblPr>
        <w:tblW w:w="9412" w:type="dxa"/>
        <w:jc w:val="center"/>
        <w:tblLayout w:type="fixed"/>
        <w:tblCellMar>
          <w:top w:w="140" w:type="dxa"/>
          <w:left w:w="220" w:type="dxa"/>
          <w:bottom w:w="140" w:type="dxa"/>
          <w:right w:w="200" w:type="dxa"/>
        </w:tblCellMar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nil"/>
              <w:left w:val="single" w:sz="18" w:space="0" w:color="1F4E79"/>
              <w:bottom w:val="nil"/>
              <w:right w:val="nil"/>
            </w:tcBorders>
            <w:shd w:val="clear" w:color="auto" w:fill="EEF3F9"/>
          </w:tcPr>
          <w:p>
            <w:pPr>
              <w:spacing w:after="120"/>
            </w:pPr>
            <w:r>
              <w:rPr>
                <w:rFonts w:ascii="PingFang SC" w:hAnsi="PingFang SC" w:eastAsia="PingFang SC"/>
                <w:b/>
                <w:color w:val="1F4E79"/>
                <w:sz w:val="20"/>
              </w:rPr>
              <w:t>这份回检的结论是负面的</w:t>
            </w:r>
          </w:p>
          <w:p>
            <w:pPr>
              <w:spacing w:before="40" w:after="40" w:line="348" w:lineRule="auto"/>
            </w:pPr>
            <w:r>
              <w:rPr>
                <w:rFonts w:ascii="Times New Roman" w:hAnsi="Times New Roman" w:eastAsia="Songti SC"/>
                <w:b w:val="0"/>
                <w:color w:val="1A1A1A"/>
                <w:sz w:val="20"/>
              </w:rPr>
              <w:t>把光场式套到自旋上，预测修正 0.08 dB，实测 1.2 dB——差 15 倍。换成自旋式，两个尺寸独立给出同一个 ⟨J⟩/J_max = 39.6%。</w:t>
            </w:r>
          </w:p>
          <w:p>
            <w:pPr>
              <w:spacing w:before="40" w:after="40" w:line="348" w:lineRule="auto"/>
            </w:pPr>
            <w:r>
              <w:rPr>
                <w:rFonts w:ascii="Times New Roman" w:hAnsi="Times New Roman" w:eastAsia="Songti SC"/>
                <w:b/>
                <w:color w:val="9C2700"/>
                <w:sz w:val="20"/>
              </w:rPr>
              <w:t>结论：自旋压缩不能直接搬光场的传递式。这是迁移的一条硬边界。</w:t>
            </w:r>
          </w:p>
        </w:tc>
      </w:tr>
    </w:tbl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1  </w:t>
      </w:r>
      <w:r>
        <w:rPr>
          <w:rFonts w:ascii="PingFang SC" w:hAnsi="PingFang SC" w:eastAsia="PingFang SC"/>
          <w:b/>
          <w:color w:val="1F4E79"/>
          <w:sz w:val="26"/>
        </w:rPr>
        <w:t>数据</w:t>
      </w:r>
    </w:p>
    <w:tbl>
      <w:tblPr>
        <w:tblW w:w="10092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2268"/>
        <w:gridCol w:w="2381"/>
        <w:gridCol w:w="2608"/>
        <w:gridCol w:w="2835"/>
      </w:tblGrid>
      <w:tr>
        <w:trPr>
          <w:cantSplit/>
          <w:tblHeader/>
        </w:trPr>
        <w:tc>
          <w:tcPr>
            <w:tcW w:type="dxa" w:w="2268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量</w:t>
            </w:r>
          </w:p>
        </w:tc>
        <w:tc>
          <w:tcPr>
            <w:tcW w:type="dxa" w:w="2381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6×6</w:t>
            </w:r>
          </w:p>
        </w:tc>
        <w:tc>
          <w:tcPr>
            <w:tcW w:type="dxa" w:w="2608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10×10</w:t>
            </w:r>
          </w:p>
        </w:tc>
        <w:tc>
          <w:tcPr>
            <w:tcW w:type="dxa" w:w="2835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检测效率 |↑⟩</w:t>
            </w:r>
          </w:p>
        </w:tc>
        <w:tc>
          <w:tcPr>
            <w:tcW w:type="dxa" w:w="238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97.5±1%</w:t>
            </w:r>
          </w:p>
        </w:tc>
        <w:tc>
          <w:tcPr>
            <w:tcW w:type="dxa" w:w="260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97.5±1%</w:t>
            </w:r>
          </w:p>
        </w:tc>
        <w:tc>
          <w:tcPr>
            <w:tcW w:type="dxa" w:w="2835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逐个原子读取</w:t>
            </w:r>
          </w:p>
        </w:tc>
      </w:tr>
      <w:tr>
        <w:trPr>
          <w:cantSplit/>
        </w:trPr>
        <w:tc>
          <w:tcPr>
            <w:tcW w:type="dxa" w:w="226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检测效率 |↓⟩</w:t>
            </w:r>
          </w:p>
        </w:tc>
        <w:tc>
          <w:tcPr>
            <w:tcW w:type="dxa" w:w="238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99±1%</w:t>
            </w:r>
          </w:p>
        </w:tc>
        <w:tc>
          <w:tcPr>
            <w:tcW w:type="dxa" w:w="260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99±1%</w:t>
            </w:r>
          </w:p>
        </w:tc>
        <w:tc>
          <w:tcPr>
            <w:tcW w:type="dxa" w:w="2835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同上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原始压缩</w:t>
            </w:r>
          </w:p>
        </w:tc>
        <w:tc>
          <w:tcPr>
            <w:tcW w:type="dxa" w:w="238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−2.7±0.3 dB</w:t>
            </w:r>
          </w:p>
        </w:tc>
        <w:tc>
          <w:tcPr>
            <w:tcW w:type="dxa" w:w="260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−3.5±0.3 dB</w:t>
            </w:r>
          </w:p>
        </w:tc>
        <w:tc>
          <w:tcPr>
            <w:tcW w:type="dxa" w:w="2835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未修正检测误差</w:t>
            </w:r>
          </w:p>
        </w:tc>
      </w:tr>
      <w:tr>
        <w:trPr>
          <w:cantSplit/>
        </w:trPr>
        <w:tc>
          <w:tcPr>
            <w:tcW w:type="dxa" w:w="226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修正后压缩</w:t>
            </w:r>
          </w:p>
        </w:tc>
        <w:tc>
          <w:tcPr>
            <w:tcW w:type="dxa" w:w="238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−3.9±0.3 dB</w:t>
            </w:r>
          </w:p>
        </w:tc>
        <w:tc>
          <w:tcPr>
            <w:tcW w:type="dxa" w:w="260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−5.0±0.3 dB</w:t>
            </w:r>
          </w:p>
        </w:tc>
        <w:tc>
          <w:tcPr>
            <w:tcW w:type="dxa" w:w="2835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论文修正值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修正量</w:t>
            </w:r>
          </w:p>
        </w:tc>
        <w:tc>
          <w:tcPr>
            <w:tcW w:type="dxa" w:w="2381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1.2 dB</w:t>
            </w:r>
          </w:p>
        </w:tc>
        <w:tc>
          <w:tcPr>
            <w:tcW w:type="dxa" w:w="2608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1.5 dB</w:t>
            </w:r>
          </w:p>
        </w:tc>
        <w:tc>
          <w:tcPr>
            <w:tcW w:type="dxa" w:w="2835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两者之差</w:t>
            </w:r>
          </w:p>
        </w:tc>
      </w:tr>
    </w:tbl>
    <w:p>
      <w:pPr>
        <w:spacing w:before="60" w:after="180" w:line="324" w:lineRule="auto"/>
      </w:pPr>
      <w:r>
        <w:rPr>
          <w:rFonts w:ascii="Times New Roman" w:hAnsi="Times New Roman" w:eastAsia="Songti SC"/>
          <w:color w:val="5A5A5A"/>
          <w:sz w:val="18"/>
        </w:rPr>
        <w:t>取 η = 0.98（两种态的加权平均）。换用 0.97 或 0.99，下面的结论不变。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2  </w:t>
      </w:r>
      <w:r>
        <w:rPr>
          <w:rFonts w:ascii="PingFang SC" w:hAnsi="PingFang SC" w:eastAsia="PingFang SC"/>
          <w:b/>
          <w:color w:val="1F4E79"/>
          <w:sz w:val="26"/>
        </w:rPr>
        <w:t>套光场式：错 15 倍</w:t>
      </w:r>
    </w:p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 w:val="0"/>
          <w:i w:val="0"/>
          <w:color w:val="1A1A1A"/>
          <w:sz w:val="21"/>
        </w:rPr>
        <w:t>用核验规范 8.1 的传递式 V_out = ηV + (1−η) 反解，看修正量应该是多少：</w:t>
      </w:r>
    </w:p>
    <w:tbl>
      <w:tblPr>
        <w:tblW w:w="10319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2381"/>
        <w:gridCol w:w="1474"/>
        <w:gridCol w:w="1701"/>
        <w:gridCol w:w="1701"/>
        <w:gridCol w:w="1701"/>
        <w:gridCol w:w="1360"/>
      </w:tblGrid>
      <w:tr>
        <w:trPr>
          <w:cantSplit/>
          <w:tblHeader/>
        </w:trPr>
        <w:tc>
          <w:tcPr>
            <w:tcW w:type="dxa" w:w="2381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情形</w:t>
            </w:r>
          </w:p>
        </w:tc>
        <w:tc>
          <w:tcPr>
            <w:tcW w:type="dxa" w:w="1474"/>
            <w:shd w:val="clear" w:color="auto" w:fill="DCE6F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b/>
                <w:color w:val="1F4E79"/>
                <w:sz w:val="18"/>
              </w:rPr>
              <w:t>原始</w:t>
            </w:r>
          </w:p>
        </w:tc>
        <w:tc>
          <w:tcPr>
            <w:tcW w:type="dxa" w:w="1701"/>
            <w:shd w:val="clear" w:color="auto" w:fill="DCE6F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b/>
                <w:color w:val="1F4E79"/>
                <w:sz w:val="18"/>
              </w:rPr>
              <w:t>本式预测</w:t>
            </w:r>
          </w:p>
        </w:tc>
        <w:tc>
          <w:tcPr>
            <w:tcW w:type="dxa" w:w="1701"/>
            <w:shd w:val="clear" w:color="auto" w:fill="DCE6F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b/>
                <w:color w:val="1F4E79"/>
                <w:sz w:val="18"/>
              </w:rPr>
              <w:t>本式修正量</w:t>
            </w:r>
          </w:p>
        </w:tc>
        <w:tc>
          <w:tcPr>
            <w:tcW w:type="dxa" w:w="1701"/>
            <w:shd w:val="clear" w:color="auto" w:fill="DCE6F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b/>
                <w:color w:val="1F4E79"/>
                <w:sz w:val="18"/>
              </w:rPr>
              <w:t>论文修正量</w:t>
            </w:r>
          </w:p>
        </w:tc>
        <w:tc>
          <w:tcPr>
            <w:tcW w:type="dxa" w:w="1361"/>
            <w:shd w:val="clear" w:color="auto" w:fill="DCE6F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b/>
                <w:color w:val="1F4E79"/>
                <w:sz w:val="18"/>
              </w:rPr>
              <w:t>差</w:t>
            </w:r>
          </w:p>
        </w:tc>
      </w:tr>
      <w:tr>
        <w:trPr>
          <w:cantSplit/>
        </w:trPr>
        <w:tc>
          <w:tcPr>
            <w:tcW w:type="dxa" w:w="238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6×6 阵列</w:t>
            </w:r>
          </w:p>
        </w:tc>
        <w:tc>
          <w:tcPr>
            <w:tcW w:type="dxa" w:w="1474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8"/>
              </w:rPr>
              <w:t>-2.7 dB</w:t>
            </w:r>
          </w:p>
        </w:tc>
        <w:tc>
          <w:tcPr>
            <w:tcW w:type="dxa" w:w="170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8"/>
              </w:rPr>
              <w:t>-2.78 dB</w:t>
            </w:r>
          </w:p>
        </w:tc>
        <w:tc>
          <w:tcPr>
            <w:tcW w:type="dxa" w:w="170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8"/>
              </w:rPr>
              <w:t>0.08 dB</w:t>
            </w:r>
          </w:p>
        </w:tc>
        <w:tc>
          <w:tcPr>
            <w:tcW w:type="dxa" w:w="170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8"/>
              </w:rPr>
              <w:t>1.20 dB</w:t>
            </w:r>
          </w:p>
        </w:tc>
        <w:tc>
          <w:tcPr>
            <w:tcW w:type="dxa" w:w="136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8"/>
              </w:rPr>
              <w:t>1.12 dB</w:t>
            </w:r>
          </w:p>
        </w:tc>
      </w:tr>
      <w:tr>
        <w:trPr>
          <w:cantSplit/>
        </w:trPr>
        <w:tc>
          <w:tcPr>
            <w:tcW w:type="dxa" w:w="2381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10×10（100 原子）</w:t>
            </w:r>
          </w:p>
        </w:tc>
        <w:tc>
          <w:tcPr>
            <w:tcW w:type="dxa" w:w="1474"/>
            <w:shd w:val="clear" w:color="auto" w:fill="F7F9FC"/>
          </w:tcPr>
          <w:p>
            <w:pPr>
              <w:spacing w:before="30" w:after="30" w:line="276" w:lineRule="auto"/>
              <w:jc w:val="center"/>
            </w:pPr>
            <w:r>
              <w:rPr>
                <w:sz w:val="18"/>
              </w:rPr>
              <w:t>-3.5 dB</w:t>
            </w:r>
          </w:p>
        </w:tc>
        <w:tc>
          <w:tcPr>
            <w:tcW w:type="dxa" w:w="1701"/>
            <w:shd w:val="clear" w:color="auto" w:fill="F7F9FC"/>
          </w:tcPr>
          <w:p>
            <w:pPr>
              <w:spacing w:before="30" w:after="30" w:line="276" w:lineRule="auto"/>
              <w:jc w:val="center"/>
            </w:pPr>
            <w:r>
              <w:rPr>
                <w:sz w:val="18"/>
              </w:rPr>
              <w:t>-3.61 dB</w:t>
            </w:r>
          </w:p>
        </w:tc>
        <w:tc>
          <w:tcPr>
            <w:tcW w:type="dxa" w:w="1701"/>
            <w:shd w:val="clear" w:color="auto" w:fill="F7F9FC"/>
          </w:tcPr>
          <w:p>
            <w:pPr>
              <w:spacing w:before="30" w:after="30" w:line="276" w:lineRule="auto"/>
              <w:jc w:val="center"/>
            </w:pPr>
            <w:r>
              <w:rPr>
                <w:sz w:val="18"/>
              </w:rPr>
              <w:t>0.11 dB</w:t>
            </w:r>
          </w:p>
        </w:tc>
        <w:tc>
          <w:tcPr>
            <w:tcW w:type="dxa" w:w="1701"/>
            <w:shd w:val="clear" w:color="auto" w:fill="F7F9FC"/>
          </w:tcPr>
          <w:p>
            <w:pPr>
              <w:spacing w:before="30" w:after="30" w:line="276" w:lineRule="auto"/>
              <w:jc w:val="center"/>
            </w:pPr>
            <w:r>
              <w:rPr>
                <w:sz w:val="18"/>
              </w:rPr>
              <w:t>1.50 dB</w:t>
            </w:r>
          </w:p>
        </w:tc>
        <w:tc>
          <w:tcPr>
            <w:tcW w:type="dxa" w:w="1361"/>
            <w:shd w:val="clear" w:color="auto" w:fill="F7F9FC"/>
          </w:tcPr>
          <w:p>
            <w:pPr>
              <w:spacing w:before="30" w:after="30" w:line="276" w:lineRule="auto"/>
              <w:jc w:val="center"/>
            </w:pPr>
            <w:r>
              <w:rPr>
                <w:sz w:val="18"/>
              </w:rPr>
              <w:t>1.39 dB</w:t>
            </w:r>
          </w:p>
        </w:tc>
      </w:tr>
    </w:tbl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 w:val="0"/>
          <w:color w:val="1A1A1A"/>
          <w:sz w:val="21"/>
        </w:rPr>
        <w:t xml:space="preserve">光场式只解释得了 </w:t>
      </w:r>
      <w:r>
        <w:rPr>
          <w:rFonts w:ascii="Times New Roman" w:hAnsi="Times New Roman" w:eastAsia="Songti SC"/>
          <w:b/>
          <w:color w:val="1A1A1A"/>
          <w:sz w:val="21"/>
        </w:rPr>
        <w:t>0.08–0.11 dB</w:t>
      </w:r>
      <w:r>
        <w:rPr>
          <w:rFonts w:ascii="Times New Roman" w:hAnsi="Times New Roman" w:eastAsia="Songti SC"/>
          <w:b w:val="0"/>
          <w:color w:val="1A1A1A"/>
          <w:sz w:val="21"/>
        </w:rPr>
        <w:t>，实测 1.2–1.5 dB。不是数值误差，是式子用错了。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3  </w:t>
      </w:r>
      <w:r>
        <w:rPr>
          <w:rFonts w:ascii="PingFang SC" w:hAnsi="PingFang SC" w:eastAsia="PingFang SC"/>
          <w:b/>
          <w:color w:val="1F4E79"/>
          <w:sz w:val="26"/>
        </w:rPr>
        <w:t>换成自旋式：两个尺寸给出同一个数</w:t>
      </w:r>
    </w:p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 w:val="0"/>
          <w:i w:val="0"/>
          <w:color w:val="1A1A1A"/>
          <w:sz w:val="21"/>
        </w:rPr>
        <w:t>自旋读出不是线性损耗。每个原子以效率 η 被探测，等价于过一束分束器，其结果是：</w:t>
      </w:r>
    </w:p>
    <w:p>
      <w:pPr>
        <w:spacing w:before="80" w:after="160" w:line="312" w:lineRule="auto"/>
        <w:jc w:val="center"/>
      </w:pPr>
      <w:r>
        <w:rPr>
          <w:rFonts w:ascii="Cambria Math" w:hAnsi="Cambria Math" w:eastAsia="Songti SC"/>
          <w:color w:val="1A1A1A"/>
          <w:sz w:val="22"/>
        </w:rPr>
        <w:t>ξ²_meas = ξ²_true + N²(1 − η) / (4η⟨J⟩²)</w:t>
      </w:r>
    </w:p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 w:val="0"/>
          <w:i w:val="0"/>
          <w:color w:val="1A1A1A"/>
          <w:sz w:val="21"/>
        </w:rPr>
        <w:t>比光场式多了一个 1/η 和分母上的 ⟨J⟩²。代入两例，反解各自需要的自旋长度：</w:t>
      </w:r>
    </w:p>
    <w:tbl>
      <w:tblPr>
        <w:tblW w:w="9752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2835"/>
        <w:gridCol w:w="1134"/>
        <w:gridCol w:w="1814"/>
        <w:gridCol w:w="2041"/>
        <w:gridCol w:w="1927"/>
      </w:tblGrid>
      <w:tr>
        <w:trPr>
          <w:cantSplit/>
          <w:tblHeader/>
        </w:trPr>
        <w:tc>
          <w:tcPr>
            <w:tcW w:type="dxa" w:w="2835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9"/>
              </w:rPr>
              <w:t>情形</w:t>
            </w:r>
          </w:p>
        </w:tc>
        <w:tc>
          <w:tcPr>
            <w:tcW w:type="dxa" w:w="1134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9"/>
              </w:rPr>
              <w:t>N</w:t>
            </w:r>
          </w:p>
        </w:tc>
        <w:tc>
          <w:tcPr>
            <w:tcW w:type="dxa" w:w="1814"/>
            <w:shd w:val="clear" w:color="auto" w:fill="DCE6F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b/>
                <w:color w:val="1F4E79"/>
                <w:sz w:val="19"/>
              </w:rPr>
              <w:t>需要的 ⟨J⟩</w:t>
            </w:r>
          </w:p>
        </w:tc>
        <w:tc>
          <w:tcPr>
            <w:tcW w:type="dxa" w:w="2041"/>
            <w:shd w:val="clear" w:color="auto" w:fill="DCE6F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b/>
                <w:color w:val="1F4E79"/>
                <w:sz w:val="19"/>
              </w:rPr>
              <w:t>占 J_max = N/2</w:t>
            </w:r>
          </w:p>
        </w:tc>
        <w:tc>
          <w:tcPr>
            <w:tcW w:type="dxa" w:w="1928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9"/>
              </w:rPr>
              <w:t>结论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6×6 阵列</w:t>
            </w:r>
          </w:p>
        </w:tc>
        <w:tc>
          <w:tcPr>
            <w:tcW w:type="dxa" w:w="1134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36</w:t>
            </w:r>
          </w:p>
        </w:tc>
        <w:tc>
          <w:tcPr>
            <w:tcW w:type="dxa" w:w="1814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7.1</w:t>
            </w:r>
          </w:p>
        </w:tc>
        <w:tc>
          <w:tcPr>
            <w:tcW w:type="dxa" w:w="204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39.7%</w:t>
            </w:r>
          </w:p>
        </w:tc>
        <w:tc>
          <w:tcPr>
            <w:tcW w:type="dxa" w:w="192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一致</w:t>
            </w:r>
          </w:p>
        </w:tc>
      </w:tr>
      <w:tr>
        <w:trPr>
          <w:cantSplit/>
        </w:trPr>
        <w:tc>
          <w:tcPr>
            <w:tcW w:type="dxa" w:w="2835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9"/>
              </w:rPr>
              <w:t>10×10（100 原子）</w:t>
            </w:r>
          </w:p>
        </w:tc>
        <w:tc>
          <w:tcPr>
            <w:tcW w:type="dxa" w:w="1134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9"/>
              </w:rPr>
              <w:t>100</w:t>
            </w:r>
          </w:p>
        </w:tc>
        <w:tc>
          <w:tcPr>
            <w:tcW w:type="dxa" w:w="1814"/>
            <w:shd w:val="clear" w:color="auto" w:fill="F7F9FC"/>
          </w:tcPr>
          <w:p>
            <w:pPr>
              <w:spacing w:before="30" w:after="30" w:line="276" w:lineRule="auto"/>
              <w:jc w:val="center"/>
            </w:pPr>
            <w:r>
              <w:rPr>
                <w:sz w:val="19"/>
              </w:rPr>
              <w:t>19.8</w:t>
            </w:r>
          </w:p>
        </w:tc>
        <w:tc>
          <w:tcPr>
            <w:tcW w:type="dxa" w:w="2041"/>
            <w:shd w:val="clear" w:color="auto" w:fill="F7F9FC"/>
          </w:tcPr>
          <w:p>
            <w:pPr>
              <w:spacing w:before="30" w:after="30" w:line="276" w:lineRule="auto"/>
              <w:jc w:val="center"/>
            </w:pPr>
            <w:r>
              <w:rPr>
                <w:sz w:val="19"/>
              </w:rPr>
              <w:t>39.6%</w:t>
            </w:r>
          </w:p>
        </w:tc>
        <w:tc>
          <w:tcPr>
            <w:tcW w:type="dxa" w:w="1928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9"/>
              </w:rPr>
              <w:t>一致</w:t>
            </w:r>
          </w:p>
        </w:tc>
      </w:tr>
    </w:tbl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 w:val="0"/>
          <w:color w:val="1A1A1A"/>
          <w:sz w:val="21"/>
        </w:rPr>
        <w:t xml:space="preserve">两个相差三倍的系统，给出的比例是 </w:t>
      </w:r>
      <w:r>
        <w:rPr>
          <w:rFonts w:ascii="Times New Roman" w:hAnsi="Times New Roman" w:eastAsia="Songti SC"/>
          <w:b/>
          <w:color w:val="1A1A1A"/>
          <w:sz w:val="21"/>
        </w:rPr>
        <w:t>39.7% 与 39.6%</w:t>
      </w:r>
      <w:r>
        <w:rPr>
          <w:rFonts w:ascii="Times New Roman" w:hAnsi="Times New Roman" w:eastAsia="Songti SC"/>
          <w:b w:val="0"/>
          <w:color w:val="1A1A1A"/>
          <w:sz w:val="21"/>
        </w:rPr>
        <w:t>——差 0.1%。这不是巧合：自旋长度在最优压缩时刻已衰减到四成左右，正是论文图 2b 的样子。自旋式对了，光场式错了。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4  </w:t>
      </w:r>
      <w:r>
        <w:rPr>
          <w:rFonts w:ascii="PingFang SC" w:hAnsi="PingFang SC" w:eastAsia="PingFang SC"/>
          <w:b/>
          <w:color w:val="1F4E79"/>
          <w:sz w:val="26"/>
        </w:rPr>
        <w:t>为什么不能直接搬</w:t>
      </w:r>
    </w:p>
    <w:tbl>
      <w:tblPr>
        <w:tblW w:w="10092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2381"/>
        <w:gridCol w:w="3628"/>
        <w:gridCol w:w="4082"/>
      </w:tblGrid>
      <w:tr>
        <w:trPr>
          <w:cantSplit/>
          <w:tblHeader/>
        </w:trPr>
        <w:tc>
          <w:tcPr>
            <w:tcW w:type="dxa" w:w="2381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</w:r>
          </w:p>
        </w:tc>
        <w:tc>
          <w:tcPr>
            <w:tcW w:type="dxa" w:w="3628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光场（正交分量）</w:t>
            </w:r>
          </w:p>
        </w:tc>
        <w:tc>
          <w:tcPr>
            <w:tcW w:type="dxa" w:w="4082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自旋（集体自旋）</w:t>
            </w:r>
          </w:p>
        </w:tc>
      </w:tr>
      <w:tr>
        <w:trPr>
          <w:cantSplit/>
        </w:trPr>
        <w:tc>
          <w:tcPr>
            <w:tcW w:type="dxa" w:w="238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传播模型</w:t>
            </w:r>
          </w:p>
        </w:tc>
        <w:tc>
          <w:tcPr>
            <w:tcW w:type="dxa" w:w="362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分束器，线性衰减</w:t>
            </w:r>
          </w:p>
        </w:tc>
        <w:tc>
          <w:tcPr>
            <w:tcW w:type="dxa" w:w="4082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逐个原子的二项式探测</w:t>
            </w:r>
          </w:p>
        </w:tc>
      </w:tr>
      <w:tr>
        <w:trPr>
          <w:cantSplit/>
        </w:trPr>
        <w:tc>
          <w:tcPr>
            <w:tcW w:type="dxa" w:w="238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损耗进入方式</w:t>
            </w:r>
          </w:p>
        </w:tc>
        <w:tc>
          <w:tcPr>
            <w:tcW w:type="dxa" w:w="362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V → ηV + (1−η)</w:t>
            </w:r>
          </w:p>
        </w:tc>
        <w:tc>
          <w:tcPr>
            <w:tcW w:type="dxa" w:w="4082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ξ² → ξ² + N²(1−η)/(4η⟨J⟩²)</w:t>
            </w:r>
          </w:p>
        </w:tc>
      </w:tr>
      <w:tr>
        <w:trPr>
          <w:cantSplit/>
        </w:trPr>
        <w:tc>
          <w:tcPr>
            <w:tcW w:type="dxa" w:w="2381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随强度变化</w:t>
            </w:r>
          </w:p>
        </w:tc>
        <w:tc>
          <w:tcPr>
            <w:tcW w:type="dxa" w:w="3628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与信号无关</w:t>
            </w:r>
          </w:p>
        </w:tc>
        <w:tc>
          <w:tcPr>
            <w:tcW w:type="dxa" w:w="4082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⟨J⟩ 越小，修正越大</w:t>
            </w:r>
          </w:p>
        </w:tc>
      </w:tr>
    </w:tbl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/>
          <w:color w:val="1A1A1A"/>
          <w:sz w:val="21"/>
        </w:rPr>
        <w:t>关键在最后一行。</w:t>
      </w:r>
      <w:r>
        <w:rPr>
          <w:rFonts w:ascii="Times New Roman" w:hAnsi="Times New Roman" w:eastAsia="Songti SC"/>
          <w:b w:val="0"/>
          <w:color w:val="1A1A1A"/>
          <w:sz w:val="21"/>
        </w:rPr>
        <w:t>光场里损耗是固定的加性项；自旋里 ⟨J⟩ 会随压缩一起衰减，于是「压缩得越好、修正得越多」——正反馈。这也是为什么自旋压缩的检测误差看起来比光场严重得多。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5  </w:t>
      </w:r>
      <w:r>
        <w:rPr>
          <w:rFonts w:ascii="PingFang SC" w:hAnsi="PingFang SC" w:eastAsia="PingFang SC"/>
          <w:b/>
          <w:color w:val="1F4E79"/>
          <w:sz w:val="26"/>
        </w:rPr>
        <w:t>后果：三条要改的地方</w:t>
      </w:r>
    </w:p>
    <w:p>
      <w:pPr>
        <w:pStyle w:val="ListBullet"/>
        <w:spacing w:before="0" w:after="80" w:line="348" w:lineRule="auto"/>
        <w:ind w:left="425"/>
      </w:pPr>
      <w:r>
        <w:rPr>
          <w:rFonts w:ascii="Times New Roman" w:hAnsi="Times New Roman" w:eastAsia="Songti SC"/>
          <w:b/>
          <w:color w:val="1A1A1A"/>
          <w:sz w:val="21"/>
        </w:rPr>
        <w:t>《优势账迁移说明》加第五条边界。</w:t>
      </w:r>
      <w:r>
        <w:rPr>
          <w:rFonts w:ascii="Times New Roman" w:hAnsi="Times New Roman" w:eastAsia="Songti SC"/>
          <w:b w:val="0"/>
          <w:color w:val="1A1A1A"/>
          <w:sz w:val="21"/>
        </w:rPr>
        <w:t>自旋压缩：乘性成立，但换算律不同。</w:t>
      </w:r>
    </w:p>
    <w:p>
      <w:pPr>
        <w:pStyle w:val="ListBullet"/>
        <w:spacing w:before="0" w:after="80" w:line="348" w:lineRule="auto"/>
        <w:ind w:left="425"/>
      </w:pPr>
      <w:r>
        <w:rPr>
          <w:rFonts w:ascii="Times New Roman" w:hAnsi="Times New Roman" w:eastAsia="Songti SC"/>
          <w:b/>
          <w:color w:val="1A1A1A"/>
          <w:sz w:val="21"/>
        </w:rPr>
        <w:t>附录 C 的 Yb 案例需复查。</w:t>
      </w:r>
      <w:r>
        <w:rPr>
          <w:rFonts w:ascii="Times New Roman" w:hAnsi="Times New Roman" w:eastAsia="Songti SC"/>
          <w:b w:val="0"/>
          <w:color w:val="1A1A1A"/>
          <w:sz w:val="21"/>
        </w:rPr>
        <w:t>12.9 → 6.5 dB、反解 η = 0.818 用的是光场式；改用自旋式后该值可能偏大。</w:t>
      </w:r>
    </w:p>
    <w:p>
      <w:pPr>
        <w:pStyle w:val="ListBullet"/>
        <w:spacing w:before="0" w:after="80" w:line="348" w:lineRule="auto"/>
        <w:ind w:left="425"/>
      </w:pPr>
      <w:r>
        <w:rPr>
          <w:rFonts w:ascii="Times New Roman" w:hAnsi="Times New Roman" w:eastAsia="Songti SC"/>
          <w:b/>
          <w:color w:val="1A1A1A"/>
          <w:sz w:val="21"/>
        </w:rPr>
        <w:t>标准 8.1 条宜限定适用范围。</w:t>
      </w:r>
      <w:r>
        <w:rPr>
          <w:rFonts w:ascii="Times New Roman" w:hAnsi="Times New Roman" w:eastAsia="Songti SC"/>
          <w:b w:val="0"/>
          <w:color w:val="1A1A1A"/>
          <w:sz w:val="21"/>
        </w:rPr>
        <w:t>应补「本条适用于光场正交分量压缩」，并为自旋读出增设一节。</w:t>
      </w:r>
    </w:p>
    <w:p>
      <w:pPr>
        <w:spacing w:before="60" w:after="180" w:line="324" w:lineRule="auto"/>
      </w:pPr>
      <w:r>
        <w:rPr>
          <w:rFonts w:ascii="Times New Roman" w:hAnsi="Times New Roman" w:eastAsia="Songti SC"/>
          <w:color w:val="5A5A5A"/>
          <w:sz w:val="18"/>
        </w:rPr>
        <w:t>复现：数据取自 arXiv:2303.08053v2 的正文与图 2、图 3 标注值；光场式用 contract.inverse_loss，自旋式见本文第 3 节。校验命令：python3 -c "import math;print(10*math.log10((10**(-0.27)-0.02)/0.98))"</w:t>
      </w:r>
    </w:p>
    <w:sectPr w:rsidR="00FC693F" w:rsidRPr="0006063C" w:rsidSect="00034616">
      <w:footerReference w:type="default" r:id="rId9"/>
      <w:pgSz w:w="11906" w:h="16838"/>
      <w:pgMar w:top="1247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Songti SC"/>
        <w:color w:val="5A5A5A"/>
        <w:sz w:val="16"/>
      </w:rPr>
      <w:t>理论落地 · 文献回检 Ⅱ · 2026-10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Songti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