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40"/>
      </w:pPr>
      <w:r>
        <w:rPr>
          <w:rFonts w:ascii="PingFang SC" w:hAnsi="PingFang SC" w:eastAsia="PingFang SC"/>
          <w:b/>
          <w:color w:val="1F4E79"/>
          <w:sz w:val="40"/>
        </w:rPr>
        <w:t>文献回检：一个完整的损耗账</w:t>
      </w:r>
    </w:p>
    <w:p>
      <w:pPr>
        <w:spacing w:after="160"/>
      </w:pPr>
      <w:r>
        <w:rPr>
          <w:rFonts w:ascii="PingFang SC" w:hAnsi="PingFang SC" w:eastAsia="PingFang SC"/>
          <w:color w:val="5A5A5A"/>
          <w:sz w:val="20"/>
        </w:rPr>
        <w:t>Vahlbruch et al., Phys. Rev. Lett. 117, 110801 (2016)；arXiv:2411.07379</w:t>
      </w:r>
    </w:p>
    <w:tbl>
      <w:tblPr>
        <w:tblW w:w="9412" w:type="dxa"/>
        <w:jc w:val="center"/>
        <w:tblLayout w:type="fixed"/>
        <w:tblCellMar>
          <w:top w:w="140" w:type="dxa"/>
          <w:left w:w="220" w:type="dxa"/>
          <w:bottom w:w="140" w:type="dxa"/>
          <w:right w:w="200" w:type="dxa"/>
        </w:tblCellMar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nil"/>
              <w:left w:val="single" w:sz="18" w:space="0" w:color="1F4E79"/>
              <w:bottom w:val="nil"/>
              <w:right w:val="nil"/>
            </w:tcBorders>
            <w:shd w:val="clear" w:color="auto" w:fill="EEF3F9"/>
          </w:tcPr>
          <w:p>
            <w:pPr>
              <w:spacing w:after="120"/>
            </w:pPr>
            <w:r>
              <w:rPr>
                <w:rFonts w:ascii="PingFang SC" w:hAnsi="PingFang SC" w:eastAsia="PingFang SC"/>
                <w:b/>
                <w:color w:val="1F4E79"/>
                <w:sz w:val="20"/>
              </w:rPr>
              <w:t>三句话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 w:val="0"/>
                <w:color w:val="1A1A1A"/>
                <w:sz w:val="20"/>
              </w:rPr>
              <w:t>这篇论文罕见地把损耗表列全了：总效率 97.5%，四项分解。账本能逐项复现。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 w:val="0"/>
                <w:color w:val="1A1A1A"/>
                <w:sz w:val="20"/>
              </w:rPr>
              <w:t>一个 V_sq 同时复现 10.0 dB 压缩与 11.0 dB 反压缩——两条曲线，一个参数。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/>
                <w:color w:val="9C2700"/>
                <w:sz w:val="20"/>
              </w:rPr>
              <w:t>世界纪录 15.3 dB，离它自己的地板 16.02 dB 只差 0.72 dB。</w:t>
            </w:r>
          </w:p>
        </w:tc>
      </w:tr>
    </w:tbl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1  </w:t>
      </w:r>
      <w:r>
        <w:rPr>
          <w:rFonts w:ascii="PingFang SC" w:hAnsi="PingFang SC" w:eastAsia="PingFang SC"/>
          <w:b/>
          <w:color w:val="1F4E79"/>
          <w:sz w:val="26"/>
        </w:rPr>
        <w:t>为什么挑这一篇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多数论文只报“测到多少 dB”，不报损耗表，无法复算。这一篇不同：它为了做量子效率的绝对定标，把整条链路的损耗逐项测了并公布。对我们来说，这是难得的、可以逐项对表的数据。</w:t>
      </w:r>
    </w:p>
    <w:tbl>
      <w:tblPr>
        <w:tblW w:w="9412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3742"/>
        <w:gridCol w:w="2948"/>
        <w:gridCol w:w="2721"/>
      </w:tblGrid>
      <w:tr>
        <w:trPr>
          <w:cantSplit/>
          <w:tblHeader/>
        </w:trPr>
        <w:tc>
          <w:tcPr>
            <w:tcW w:type="dxa" w:w="3742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论文给出的量</w:t>
            </w:r>
          </w:p>
        </w:tc>
        <w:tc>
          <w:tcPr>
            <w:tcW w:type="dxa" w:w="294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数值</w:t>
            </w:r>
          </w:p>
        </w:tc>
        <w:tc>
          <w:tcPr>
            <w:tcW w:type="dxa" w:w="272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用途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探测到的压缩（扣暗噪声后）</w:t>
            </w:r>
          </w:p>
        </w:tc>
        <w:tc>
          <w:tcPr>
            <w:tcW w:type="dxa" w:w="294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15.3 dB</w:t>
            </w:r>
          </w:p>
        </w:tc>
        <w:tc>
          <w:tcPr>
            <w:tcW w:type="dxa" w:w="272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反推源压缩度</w:t>
            </w:r>
          </w:p>
        </w:tc>
      </w:tr>
      <w:tr>
        <w:trPr>
          <w:cantSplit/>
        </w:trPr>
        <w:tc>
          <w:tcPr>
            <w:tcW w:type="dxa" w:w="3742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总探测效率 η</w:t>
            </w:r>
          </w:p>
        </w:tc>
        <w:tc>
          <w:tcPr>
            <w:tcW w:type="dxa" w:w="294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0.975（损耗 2.5%）</w:t>
            </w:r>
          </w:p>
        </w:tc>
        <w:tc>
          <w:tcPr>
            <w:tcW w:type="dxa" w:w="272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正演与地板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homodyne 对比度</w:t>
            </w:r>
          </w:p>
        </w:tc>
        <w:tc>
          <w:tcPr>
            <w:tcW w:type="dxa" w:w="294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99.6%</w:t>
            </w:r>
          </w:p>
        </w:tc>
        <w:tc>
          <w:tcPr>
            <w:tcW w:type="dxa" w:w="272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与我们的 γ² 对表</w:t>
            </w:r>
          </w:p>
        </w:tc>
      </w:tr>
      <w:tr>
        <w:trPr>
          <w:cantSplit/>
        </w:trPr>
        <w:tc>
          <w:tcPr>
            <w:tcW w:type="dxa" w:w="3742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10 dB 时的反压缩</w:t>
            </w:r>
          </w:p>
        </w:tc>
        <w:tc>
          <w:tcPr>
            <w:tcW w:type="dxa" w:w="294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11 dB</w:t>
            </w:r>
          </w:p>
        </w:tc>
        <w:tc>
          <w:tcPr>
            <w:tcW w:type="dxa" w:w="272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第二个观测量，用于交叉检验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相位噪声上限</w:t>
            </w:r>
          </w:p>
        </w:tc>
        <w:tc>
          <w:tcPr>
            <w:tcW w:type="dxa" w:w="2948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1.7 mrad</w:t>
            </w:r>
          </w:p>
        </w:tc>
        <w:tc>
          <w:tcPr>
            <w:tcW w:type="dxa" w:w="2721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说明我们的简化模型为何仍适用</w:t>
            </w:r>
          </w:p>
        </w:tc>
      </w:tr>
    </w:tbl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2  </w:t>
      </w:r>
      <w:r>
        <w:rPr>
          <w:rFonts w:ascii="PingFang SC" w:hAnsi="PingFang SC" w:eastAsia="PingFang SC"/>
          <w:b/>
          <w:color w:val="1F4E79"/>
          <w:sz w:val="26"/>
        </w:rPr>
        <w:t>三处独立吻合</w:t>
      </w:r>
    </w:p>
    <w:p>
      <w:pPr>
        <w:keepNext/>
        <w:spacing w:before="220" w:after="80"/>
      </w:pPr>
      <w:r>
        <w:rPr>
          <w:rFonts w:ascii="PingFang SC" w:hAnsi="PingFang SC" w:eastAsia="PingFang SC"/>
          <w:b/>
          <w:color w:val="1A1A1A"/>
          <w:sz w:val="22"/>
        </w:rPr>
        <w:t>① 对比度 → 模式失配损耗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color w:val="1A1A1A"/>
          <w:sz w:val="21"/>
        </w:rPr>
        <w:t xml:space="preserve">论文报 homodyne 对比度 99.6%，并把它折算成 0.8% 的损耗。我们的重叠积分给 </w:t>
      </w:r>
      <w:r>
        <w:rPr>
          <w:rFonts w:ascii="Times New Roman" w:hAnsi="Times New Roman" w:eastAsia="Songti SC"/>
          <w:b/>
          <w:color w:val="1A1A1A"/>
          <w:sz w:val="21"/>
        </w:rPr>
        <w:t>1 − γ² = 0.798%</w:t>
      </w:r>
      <w:r>
        <w:rPr>
          <w:rFonts w:ascii="Times New Roman" w:hAnsi="Times New Roman" w:eastAsia="Songti SC"/>
          <w:b w:val="0"/>
          <w:color w:val="1A1A1A"/>
          <w:sz w:val="21"/>
        </w:rPr>
        <w:t>（γ = 0.996），与论文的 0.8% 一致。这一项不是巧合：对比度就是模场重叠的另一种写法。</w:t>
      </w:r>
    </w:p>
    <w:p>
      <w:pPr>
        <w:keepNext/>
        <w:spacing w:before="220" w:after="80"/>
      </w:pPr>
      <w:r>
        <w:rPr>
          <w:rFonts w:ascii="PingFang SC" w:hAnsi="PingFang SC" w:eastAsia="PingFang SC"/>
          <w:b/>
          <w:color w:val="1A1A1A"/>
          <w:sz w:val="22"/>
        </w:rPr>
        <w:t>② 一个参数，复现两个观测量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用 10 dB 压缩反推源方差，再把同一个 V_sq 代回正演，去预测反压缩：</w:t>
      </w:r>
    </w:p>
    <w:p>
      <w:pPr>
        <w:spacing w:before="80" w:after="160" w:line="312" w:lineRule="auto"/>
        <w:jc w:val="center"/>
      </w:pPr>
      <w:r>
        <w:rPr>
          <w:rFonts w:ascii="Cambria Math" w:hAnsi="Cambria Math" w:eastAsia="Songti SC"/>
          <w:color w:val="1A1A1A"/>
          <w:sz w:val="21"/>
        </w:rPr>
        <w:t>V_sq = (V_out − (1−η)) / η = (0.10000 − 0.025) / 0.975 = 0.07692</w:t>
      </w:r>
    </w:p>
    <w:tbl>
      <w:tblPr>
        <w:tblW w:w="8505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2041"/>
        <w:gridCol w:w="2268"/>
        <w:gridCol w:w="2268"/>
        <w:gridCol w:w="1927"/>
      </w:tblGrid>
      <w:tr>
        <w:trPr>
          <w:cantSplit/>
          <w:tblHeader/>
        </w:trPr>
        <w:tc>
          <w:tcPr>
            <w:tcW w:type="dxa" w:w="204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量</w:t>
            </w:r>
          </w:p>
        </w:tc>
        <w:tc>
          <w:tcPr>
            <w:tcW w:type="dxa" w:w="2268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我们正演</w:t>
            </w:r>
          </w:p>
        </w:tc>
        <w:tc>
          <w:tcPr>
            <w:tcW w:type="dxa" w:w="2268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论文报告</w:t>
            </w:r>
          </w:p>
        </w:tc>
        <w:tc>
          <w:tcPr>
            <w:tcW w:type="dxa" w:w="1928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差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压缩</w:t>
            </w:r>
          </w:p>
        </w:tc>
        <w:tc>
          <w:tcPr>
            <w:tcW w:type="dxa" w:w="2268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10.00 dB</w:t>
            </w:r>
          </w:p>
        </w:tc>
        <w:tc>
          <w:tcPr>
            <w:tcW w:type="dxa" w:w="2268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10.0 dB</w:t>
            </w:r>
          </w:p>
        </w:tc>
        <w:tc>
          <w:tcPr>
            <w:tcW w:type="dxa" w:w="1928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+0.00 dB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反压缩</w:t>
            </w:r>
          </w:p>
        </w:tc>
        <w:tc>
          <w:tcPr>
            <w:tcW w:type="dxa" w:w="2268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11.04 dB</w:t>
            </w:r>
          </w:p>
        </w:tc>
        <w:tc>
          <w:tcPr>
            <w:tcW w:type="dxa" w:w="2268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11.0 dB</w:t>
            </w:r>
          </w:p>
        </w:tc>
        <w:tc>
          <w:tcPr>
            <w:tcW w:type="dxa" w:w="1928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+0.04 dB</w:t>
            </w:r>
          </w:p>
        </w:tc>
      </w:tr>
    </w:tbl>
    <w:p>
      <w:pPr>
        <w:spacing w:before="60" w:after="180" w:line="324" w:lineRule="auto"/>
      </w:pPr>
      <w:r>
        <w:rPr>
          <w:rFonts w:ascii="Times New Roman" w:hAnsi="Times New Roman" w:eastAsia="Songti SC"/>
          <w:color w:val="5A5A5A"/>
          <w:sz w:val="18"/>
        </w:rPr>
        <w:t>反压缩公式为 V_anti = η/V_sq + (1−η)，仅在无相位噪声时成立。两者都在 0.05 dB 内吻合，说明在这个压缩度上相位噪声确实可以忽略——与论文给出的 1.7 mrad 上限自洽。</w:t>
      </w:r>
    </w:p>
    <w:p>
      <w:pPr>
        <w:keepNext/>
        <w:spacing w:before="220" w:after="80"/>
      </w:pPr>
      <w:r>
        <w:rPr>
          <w:rFonts w:ascii="PingFang SC" w:hAnsi="PingFang SC" w:eastAsia="PingFang SC"/>
          <w:b/>
          <w:color w:val="1A1A1A"/>
          <w:sz w:val="22"/>
        </w:rPr>
        <w:t>③ 损耗表逐项相加</w:t>
      </w:r>
    </w:p>
    <w:tbl>
      <w:tblPr>
        <w:tblW w:w="9412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3402"/>
        <w:gridCol w:w="3628"/>
        <w:gridCol w:w="2381"/>
      </w:tblGrid>
      <w:tr>
        <w:trPr>
          <w:cantSplit/>
          <w:tblHeader/>
        </w:trPr>
        <w:tc>
          <w:tcPr>
            <w:tcW w:type="dxa" w:w="3402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损耗项</w:t>
            </w:r>
          </w:p>
        </w:tc>
        <w:tc>
          <w:tcPr>
            <w:tcW w:type="dxa" w:w="362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论文依据</w:t>
            </w:r>
          </w:p>
        </w:tc>
        <w:tc>
          <w:tcPr>
            <w:tcW w:type="dxa" w:w="238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本账取值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homodyne 对比度</w:t>
            </w:r>
          </w:p>
        </w:tc>
        <w:tc>
          <w:tcPr>
            <w:tcW w:type="dxa" w:w="362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99.6%</w:t>
            </w:r>
          </w:p>
        </w:tc>
        <w:tc>
          <w:tcPr>
            <w:tcW w:type="dxa" w:w="238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0.798%</w:t>
            </w:r>
          </w:p>
        </w:tc>
      </w:tr>
      <w:tr>
        <w:trPr>
          <w:cantSplit/>
        </w:trPr>
        <w:tc>
          <w:tcPr>
            <w:tcW w:type="dxa" w:w="3402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透镜透过</w:t>
            </w:r>
          </w:p>
        </w:tc>
        <w:tc>
          <w:tcPr>
            <w:tcW w:type="dxa" w:w="362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实测</w:t>
            </w:r>
          </w:p>
        </w:tc>
        <w:tc>
          <w:tcPr>
            <w:tcW w:type="dxa" w:w="238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0.200%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OPA 逃逸</w:t>
            </w:r>
          </w:p>
        </w:tc>
        <w:tc>
          <w:tcPr>
            <w:tcW w:type="dxa" w:w="362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99.05%</w:t>
            </w:r>
          </w:p>
        </w:tc>
        <w:tc>
          <w:tcPr>
            <w:tcW w:type="dxa" w:w="238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0.950%</w:t>
            </w:r>
          </w:p>
        </w:tc>
      </w:tr>
      <w:tr>
        <w:trPr>
          <w:cantSplit/>
        </w:trPr>
        <w:tc>
          <w:tcPr>
            <w:tcW w:type="dxa" w:w="3402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探测器量子效率</w:t>
            </w:r>
          </w:p>
        </w:tc>
        <w:tc>
          <w:tcPr>
            <w:tcW w:type="dxa" w:w="362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99.5%</w:t>
            </w:r>
          </w:p>
        </w:tc>
        <w:tc>
          <w:tcPr>
            <w:tcW w:type="dxa" w:w="238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0.500%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合计</w:t>
            </w:r>
          </w:p>
        </w:tc>
        <w:tc>
          <w:tcPr>
            <w:tcW w:type="dxa" w:w="3628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论文报 2.5(−0.1,+0.1)%</w:t>
            </w:r>
          </w:p>
        </w:tc>
        <w:tc>
          <w:tcPr>
            <w:tcW w:type="dxa" w:w="2381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2.448%</w:t>
            </w:r>
          </w:p>
        </w:tc>
      </w:tr>
    </w:tbl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3  </w:t>
      </w:r>
      <w:r>
        <w:rPr>
          <w:rFonts w:ascii="PingFang SC" w:hAnsi="PingFang SC" w:eastAsia="PingFang SC"/>
          <w:b/>
          <w:color w:val="1F4E79"/>
          <w:sz w:val="26"/>
        </w:rPr>
        <w:t>账本给出的新结论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把 15.3 dB 与 η = 0.975 一起放进反解式，得到论文没有直接写出的那个数：</w:t>
      </w:r>
    </w:p>
    <w:p>
      <w:pPr>
        <w:spacing w:before="80" w:after="160" w:line="312" w:lineRule="auto"/>
        <w:jc w:val="center"/>
      </w:pPr>
      <w:r>
        <w:rPr>
          <w:rFonts w:ascii="Cambria Math" w:hAnsi="Cambria Math" w:eastAsia="Songti SC"/>
          <w:color w:val="1A1A1A"/>
          <w:sz w:val="24"/>
        </w:rPr>
        <w:t>源压缩度 = 23.35 dB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color w:val="1A1A1A"/>
          <w:sz w:val="21"/>
        </w:rPr>
        <w:t xml:space="preserve">也就是说：光源产生了 </w:t>
      </w:r>
      <w:r>
        <w:rPr>
          <w:rFonts w:ascii="Times New Roman" w:hAnsi="Times New Roman" w:eastAsia="Songti SC"/>
          <w:b/>
          <w:color w:val="1A1A1A"/>
          <w:sz w:val="21"/>
        </w:rPr>
        <w:t>23.3 dB</w:t>
      </w:r>
      <w:r>
        <w:rPr>
          <w:rFonts w:ascii="Times New Roman" w:hAnsi="Times New Roman" w:eastAsia="Songti SC"/>
          <w:b w:val="0"/>
          <w:color w:val="1A1A1A"/>
          <w:sz w:val="21"/>
        </w:rPr>
        <w:t xml:space="preserve"> 的压缩，仅 2.5% 的损耗就吃掉了 </w:t>
      </w:r>
      <w:r>
        <w:rPr>
          <w:rFonts w:ascii="Times New Roman" w:hAnsi="Times New Roman" w:eastAsia="Songti SC"/>
          <w:b/>
          <w:color w:val="1A1A1A"/>
          <w:sz w:val="21"/>
        </w:rPr>
        <w:t>8.05 dB</w:t>
      </w:r>
      <w:r>
        <w:rPr>
          <w:rFonts w:ascii="Times New Roman" w:hAnsi="Times New Roman" w:eastAsia="Songti SC"/>
          <w:b w:val="0"/>
          <w:color w:val="1A1A1A"/>
          <w:sz w:val="21"/>
        </w:rPr>
        <w:t>，到探测器只剩 15.3 dB。</w:t>
      </w:r>
    </w:p>
    <w:tbl>
      <w:tblPr>
        <w:tblW w:w="8845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2268"/>
        <w:gridCol w:w="2268"/>
        <w:gridCol w:w="4309"/>
      </w:tblGrid>
      <w:tr>
        <w:trPr>
          <w:cantSplit/>
          <w:tblHeader/>
        </w:trPr>
        <w:tc>
          <w:tcPr>
            <w:tcW w:type="dxa" w:w="226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量</w:t>
            </w:r>
          </w:p>
        </w:tc>
        <w:tc>
          <w:tcPr>
            <w:tcW w:type="dxa" w:w="226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数值</w:t>
            </w:r>
          </w:p>
        </w:tc>
        <w:tc>
          <w:tcPr>
            <w:tcW w:type="dxa" w:w="4309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含义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源压缩度</w:t>
            </w:r>
          </w:p>
        </w:tc>
        <w:tc>
          <w:tcPr>
            <w:tcW w:type="dxa" w:w="226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23.35 dB</w:t>
            </w:r>
          </w:p>
        </w:tc>
        <w:tc>
          <w:tcPr>
            <w:tcW w:type="dxa" w:w="4309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由读出值反推</w:t>
            </w:r>
          </w:p>
        </w:tc>
      </w:tr>
      <w:tr>
        <w:trPr>
          <w:cantSplit/>
        </w:trPr>
        <w:tc>
          <w:tcPr>
            <w:tcW w:type="dxa" w:w="226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读出压缩度</w:t>
            </w:r>
          </w:p>
        </w:tc>
        <w:tc>
          <w:tcPr>
            <w:tcW w:type="dxa" w:w="226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15.3 dB</w:t>
            </w:r>
          </w:p>
        </w:tc>
        <w:tc>
          <w:tcPr>
            <w:tcW w:type="dxa" w:w="4309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论文直接测量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被损耗吃掉</w:t>
            </w:r>
          </w:p>
        </w:tc>
        <w:tc>
          <w:tcPr>
            <w:tcW w:type="dxa" w:w="226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8.05 dB</w:t>
            </w:r>
          </w:p>
        </w:tc>
        <w:tc>
          <w:tcPr>
            <w:tcW w:type="dxa" w:w="4309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两者之差</w:t>
            </w:r>
          </w:p>
        </w:tc>
      </w:tr>
      <w:tr>
        <w:trPr>
          <w:cantSplit/>
        </w:trPr>
        <w:tc>
          <w:tcPr>
            <w:tcW w:type="dxa" w:w="226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该链路的地板</w:t>
            </w:r>
          </w:p>
        </w:tc>
        <w:tc>
          <w:tcPr>
            <w:tcW w:type="dxa" w:w="226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16.02 dB</w:t>
            </w:r>
          </w:p>
        </w:tc>
        <w:tc>
          <w:tcPr>
            <w:tcW w:type="dxa" w:w="4309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−10·lg(1−η)，即 −10·lg L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距地板</w:t>
            </w:r>
          </w:p>
        </w:tc>
        <w:tc>
          <w:tcPr>
            <w:tcW w:type="dxa" w:w="2268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0.72 dB</w:t>
            </w:r>
          </w:p>
        </w:tc>
        <w:tc>
          <w:tcPr>
            <w:tcW w:type="dxa" w:w="4309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再提压缩度最多多拿这么多</w:t>
            </w:r>
          </w:p>
        </w:tc>
      </w:tr>
    </w:tbl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/>
          <w:color w:val="1A1A1A"/>
          <w:sz w:val="21"/>
        </w:rPr>
        <w:t>这个结果值得单独说：</w:t>
      </w:r>
      <w:r>
        <w:rPr>
          <w:rFonts w:ascii="Times New Roman" w:hAnsi="Times New Roman" w:eastAsia="Songti SC"/>
          <w:b w:val="0"/>
          <w:color w:val="1A1A1A"/>
          <w:sz w:val="21"/>
        </w:rPr>
        <w:t>世界上最好的压缩光源，也已经贴着它自己链路的地板了。再提高压缩度，最多只能多拿 0.72 dB；要再往上走，只能降损耗——而 2.5% 里已经没有一项是几何能改的，全是材料与器件。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4  </w:t>
      </w:r>
      <w:r>
        <w:rPr>
          <w:rFonts w:ascii="PingFang SC" w:hAnsi="PingFang SC" w:eastAsia="PingFang SC"/>
          <w:b/>
          <w:color w:val="1F4E79"/>
          <w:sz w:val="26"/>
        </w:rPr>
        <w:t>与既有三例的关系</w:t>
      </w:r>
    </w:p>
    <w:tbl>
      <w:tblPr>
        <w:tblW w:w="10999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3515"/>
        <w:gridCol w:w="2835"/>
        <w:gridCol w:w="2041"/>
        <w:gridCol w:w="2608"/>
      </w:tblGrid>
      <w:tr>
        <w:trPr>
          <w:cantSplit/>
          <w:tblHeader/>
        </w:trPr>
        <w:tc>
          <w:tcPr>
            <w:tcW w:type="dxa" w:w="3515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案例</w:t>
            </w:r>
          </w:p>
        </w:tc>
        <w:tc>
          <w:tcPr>
            <w:tcW w:type="dxa" w:w="2835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输入 → 观测</w:t>
            </w:r>
          </w:p>
        </w:tc>
        <w:tc>
          <w:tcPr>
            <w:tcW w:type="dxa" w:w="204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反解</w:t>
            </w:r>
          </w:p>
        </w:tc>
        <w:tc>
          <w:tcPr>
            <w:tcW w:type="dxa" w:w="260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判定</w:t>
            </w:r>
          </w:p>
        </w:tc>
      </w:tr>
      <w:tr>
        <w:trPr>
          <w:cantSplit/>
        </w:trPr>
        <w:tc>
          <w:tcPr>
            <w:tcW w:type="dxa" w:w="3515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Vahlbruch 2016（本例）</w:t>
            </w:r>
          </w:p>
        </w:tc>
        <w:tc>
          <w:tcPr>
            <w:tcW w:type="dxa" w:w="2835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源 23.35 → 15.3 dB</w:t>
            </w:r>
          </w:p>
        </w:tc>
        <w:tc>
          <w:tcPr>
            <w:tcW w:type="dxa" w:w="204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η = 0.975</w:t>
            </w:r>
          </w:p>
        </w:tc>
        <w:tc>
          <w:tcPr>
            <w:tcW w:type="dxa" w:w="260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闭合，四项损耗可复现</w:t>
            </w:r>
          </w:p>
        </w:tc>
      </w:tr>
      <w:tr>
        <w:trPr>
          <w:cantSplit/>
        </w:trPr>
        <w:tc>
          <w:tcPr>
            <w:tcW w:type="dxa" w:w="3515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LIGO O3 压缩注入</w:t>
            </w:r>
          </w:p>
        </w:tc>
        <w:tc>
          <w:tcPr>
            <w:tcW w:type="dxa" w:w="2835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6.0 → 3.0 dB</w:t>
            </w:r>
          </w:p>
        </w:tc>
        <w:tc>
          <w:tcPr>
            <w:tcW w:type="dxa" w:w="204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L = 0.334</w:t>
            </w:r>
          </w:p>
        </w:tc>
        <w:tc>
          <w:tcPr>
            <w:tcW w:type="dxa" w:w="260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闭合</w:t>
            </w:r>
          </w:p>
        </w:tc>
      </w:tr>
      <w:tr>
        <w:trPr>
          <w:cantSplit/>
        </w:trPr>
        <w:tc>
          <w:tcPr>
            <w:tcW w:type="dxa" w:w="3515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Yb 光晶格钟自旋压缩</w:t>
            </w:r>
          </w:p>
        </w:tc>
        <w:tc>
          <w:tcPr>
            <w:tcW w:type="dxa" w:w="2835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12.9 → 6.5 dB</w:t>
            </w:r>
          </w:p>
        </w:tc>
        <w:tc>
          <w:tcPr>
            <w:tcW w:type="dxa" w:w="204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η = 0.818</w:t>
            </w:r>
          </w:p>
        </w:tc>
        <w:tc>
          <w:tcPr>
            <w:tcW w:type="dxa" w:w="260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闭合</w:t>
            </w:r>
          </w:p>
        </w:tc>
      </w:tr>
      <w:tr>
        <w:trPr>
          <w:cantSplit/>
        </w:trPr>
        <w:tc>
          <w:tcPr>
            <w:tcW w:type="dxa" w:w="3515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SiN 微环 + 片上放大</w:t>
            </w:r>
          </w:p>
        </w:tc>
        <w:tc>
          <w:tcPr>
            <w:tcW w:type="dxa" w:w="2835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未给 → 4.6 dB</w:t>
            </w:r>
          </w:p>
        </w:tc>
        <w:tc>
          <w:tcPr>
            <w:tcW w:type="dxa" w:w="2041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负值</w:t>
            </w:r>
          </w:p>
        </w:tc>
        <w:tc>
          <w:tcPr>
            <w:tcW w:type="dxa" w:w="2608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不适用（含前置放大）</w:t>
            </w:r>
          </w:p>
        </w:tc>
      </w:tr>
    </w:tbl>
    <w:p>
      <w:pPr>
        <w:spacing w:before="60" w:after="180" w:line="324" w:lineRule="auto"/>
      </w:pPr>
      <w:r>
        <w:rPr>
          <w:rFonts w:ascii="Times New Roman" w:hAnsi="Times New Roman" w:eastAsia="Songti SC"/>
          <w:color w:val="5A5A5A"/>
          <w:sz w:val="18"/>
        </w:rPr>
        <w:t>前三例来自《核验规范》草案附录 C 的回溯审计。本例是第一个能把损耗表逐项对上的案例，因此作为附录 A 与 D 的补充材料使用。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5  </w:t>
      </w:r>
      <w:r>
        <w:rPr>
          <w:rFonts w:ascii="PingFang SC" w:hAnsi="PingFang SC" w:eastAsia="PingFang SC"/>
          <w:b/>
          <w:color w:val="1F4E79"/>
          <w:sz w:val="26"/>
        </w:rPr>
        <w:t>这份回检不证明什么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用的是论文报的数，不是原始数据。</w:t>
      </w:r>
      <w:r>
        <w:rPr>
          <w:rFonts w:ascii="Times New Roman" w:hAnsi="Times New Roman" w:eastAsia="Songti SC"/>
          <w:b w:val="0"/>
          <w:color w:val="1A1A1A"/>
          <w:sz w:val="21"/>
        </w:rPr>
        <w:t>我们复现的是「按它报的数应该得到什么」，不是「它的实验实际发生了什么」。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简化模型不含相位噪声。</w:t>
      </w:r>
      <w:r>
        <w:rPr>
          <w:rFonts w:ascii="Times New Roman" w:hAnsi="Times New Roman" w:eastAsia="Songti SC"/>
          <w:b w:val="0"/>
          <w:color w:val="1A1A1A"/>
          <w:sz w:val="21"/>
        </w:rPr>
        <w:t>在 10 dB 量级上误差 &lt; 0.05 dB，但在 15 dB 以上会开始显著；此时应改用含 θ_pn 的完整式。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不评价光源与探测器的优劣。</w:t>
      </w:r>
      <w:r>
        <w:rPr>
          <w:rFonts w:ascii="Times New Roman" w:hAnsi="Times New Roman" w:eastAsia="Songti SC"/>
          <w:b w:val="0"/>
          <w:color w:val="1A1A1A"/>
          <w:sz w:val="21"/>
        </w:rPr>
        <w:t>只核算账目是否自洽，以及这笔账还差多少到地板。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6  </w:t>
      </w:r>
      <w:r>
        <w:rPr>
          <w:rFonts w:ascii="PingFang SC" w:hAnsi="PingFang SC" w:eastAsia="PingFang SC"/>
          <w:b/>
          <w:color w:val="1F4E79"/>
          <w:sz w:val="26"/>
        </w:rPr>
        <w:t>复现</w:t>
      </w:r>
    </w:p>
    <w:tbl>
      <w:tblPr>
        <w:tblW w:w="9185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1474"/>
        <w:gridCol w:w="7711"/>
      </w:tblGrid>
      <w:tr>
        <w:trPr>
          <w:cantSplit/>
          <w:tblHeader/>
        </w:trPr>
        <w:tc>
          <w:tcPr>
            <w:tcW w:type="dxa" w:w="1474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项</w:t>
            </w:r>
          </w:p>
        </w:tc>
        <w:tc>
          <w:tcPr>
            <w:tcW w:type="dxa" w:w="7710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数据来源</w:t>
            </w:r>
          </w:p>
        </w:tc>
        <w:tc>
          <w:tcPr>
            <w:tcW w:type="dxa" w:w="7710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arXiv:2411.07379v2（HTML 版），表列数值均取自正文</w:t>
            </w:r>
          </w:p>
        </w:tc>
      </w:tr>
      <w:tr>
        <w:trPr>
          <w:cantSplit/>
        </w:trPr>
        <w:tc>
          <w:tcPr>
            <w:tcW w:type="dxa" w:w="1474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计算</w:t>
            </w:r>
          </w:p>
        </w:tc>
        <w:tc>
          <w:tcPr>
            <w:tcW w:type="dxa" w:w="7710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geomloss 0.2.2 · contract.inverse_loss / eff_db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命令</w:t>
            </w:r>
          </w:p>
        </w:tc>
        <w:tc>
          <w:tcPr>
            <w:tcW w:type="dxa" w:w="7710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python3 -c "from geomloss import contract as c; print(c.inverse_loss(10**-1.53, 10**-2.335))"</w:t>
            </w:r>
          </w:p>
        </w:tc>
      </w:tr>
      <w:tr>
        <w:trPr>
          <w:cantSplit/>
        </w:trPr>
        <w:tc>
          <w:tcPr>
            <w:tcW w:type="dxa" w:w="1474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回归</w:t>
            </w:r>
          </w:p>
        </w:tc>
        <w:tc>
          <w:tcPr>
            <w:tcW w:type="dxa" w:w="7710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python3 tests_geomloss.py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Songti SC"/>
        <w:color w:val="5A5A5A"/>
        <w:sz w:val="16"/>
      </w:rPr>
      <w:t>理论落地 · 文献回检 · 2026-10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Songti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