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</w:pPr>
      <w:r>
        <w:rPr>
          <w:rFonts w:ascii="PingFang SC" w:hAnsi="PingFang SC" w:eastAsia="PingFang SC"/>
          <w:b/>
          <w:color w:val="1F4E79"/>
          <w:sz w:val="40"/>
        </w:rPr>
        <w:t>自由空间单跳：几何能吃下多少</w:t>
      </w:r>
    </w:p>
    <w:p>
      <w:pPr>
        <w:spacing w:after="200"/>
      </w:pPr>
      <w:r>
        <w:rPr>
          <w:rFonts w:ascii="PingFang SC" w:hAnsi="PingFang SC" w:eastAsia="PingFang SC"/>
          <w:color w:val="5A5A5A"/>
          <w:sz w:val="22"/>
        </w:rPr>
        <w:t>与光纤链路正好相反的结论</w:t>
      </w:r>
    </w:p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先说结论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λ = 1550 nm、发射腰斑 15 cm，z_R = 45.6 km。10 km 内接收截断约 3%，几何可忽略；100 km 升到 54%，几何成为主项。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光纤链路正相反：距离越远，几何占比越低。</w:t>
            </w:r>
          </w:p>
        </w:tc>
      </w:tr>
    </w:tbl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1  </w:t>
      </w:r>
      <w:r>
        <w:rPr>
          <w:rFonts w:ascii="PingFang SC" w:hAnsi="PingFang SC" w:eastAsia="PingFang SC"/>
          <w:b/>
          <w:color w:val="1F4E79"/>
          <w:sz w:val="26"/>
        </w:rPr>
        <w:t>一个单跳的五段</w:t>
      </w:r>
    </w:p>
    <w:tbl>
      <w:tblPr>
        <w:tblW w:w="10206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3061"/>
        <w:gridCol w:w="1814"/>
        <w:gridCol w:w="3402"/>
      </w:tblGrid>
      <w:tr>
        <w:trPr>
          <w:cantSplit/>
          <w:tblHeader/>
        </w:trPr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段</w:t>
            </w:r>
          </w:p>
        </w:tc>
        <w:tc>
          <w:tcPr>
            <w:tcW w:type="dxa" w:w="30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物理</w:t>
            </w:r>
          </w:p>
        </w:tc>
        <w:tc>
          <w:tcPr>
            <w:tcW w:type="dxa" w:w="181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几何可算？</w:t>
            </w:r>
          </w:p>
        </w:tc>
        <w:tc>
          <w:tcPr>
            <w:tcW w:type="dxa" w:w="3402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靠什么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① 发射孔径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光束被镜面截断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可算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a/w₀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② 自由传播</w:t>
            </w:r>
          </w:p>
        </w:tc>
        <w:tc>
          <w:tcPr>
            <w:tcW w:type="dxa" w:w="30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衍射使光斑展宽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可算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w(z) = w₀√(1+(z/z_R)²)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③ 接收孔径</w:t>
            </w:r>
          </w:p>
        </w:tc>
        <w:tc>
          <w:tcPr>
            <w:tcW w:type="dxa" w:w="30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光斑大于镜面，外围丢失</w:t>
            </w:r>
          </w:p>
        </w:tc>
        <w:tc>
          <w:tcPr>
            <w:tcW w:type="dxa" w:w="181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可算</w:t>
            </w:r>
          </w:p>
        </w:tc>
        <w:tc>
          <w:tcPr>
            <w:tcW w:type="dxa" w:w="3402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a/w(z)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④ 空间—光纤耦合</w:t>
            </w:r>
          </w:p>
        </w:tc>
        <w:tc>
          <w:tcPr>
            <w:tcW w:type="dxa" w:w="30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与单模模场重叠</w:t>
            </w:r>
          </w:p>
        </w:tc>
        <w:tc>
          <w:tcPr>
            <w:tcW w:type="dxa" w:w="181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可算</w:t>
            </w:r>
          </w:p>
        </w:tc>
        <w:tc>
          <w:tcPr>
            <w:tcW w:type="dxa" w:w="3402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重叠积分</w:t>
            </w:r>
          </w:p>
        </w:tc>
      </w:tr>
      <w:tr>
        <w:trPr>
          <w:cantSplit/>
        </w:trPr>
        <w:tc>
          <w:tcPr>
            <w:tcW w:type="dxa" w:w="1928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⑤ 探测</w:t>
            </w:r>
          </w:p>
        </w:tc>
        <w:tc>
          <w:tcPr>
            <w:tcW w:type="dxa" w:w="306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效率与暗计数</w:t>
            </w:r>
          </w:p>
        </w:tc>
        <w:tc>
          <w:tcPr>
            <w:tcW w:type="dxa" w:w="1814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不可算</w:t>
            </w:r>
          </w:p>
        </w:tc>
        <w:tc>
          <w:tcPr>
            <w:tcW w:type="dxa" w:w="3402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实测或 datasheet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①–④ 都能算，且只用几何；⑤ 必须实测。这与噪声预算里「几何可算 / 器件实测」的分界一致。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2  </w:t>
      </w:r>
      <w:r>
        <w:rPr>
          <w:rFonts w:ascii="PingFang SC" w:hAnsi="PingFang SC" w:eastAsia="PingFang SC"/>
          <w:b/>
          <w:color w:val="1F4E79"/>
          <w:sz w:val="26"/>
        </w:rPr>
        <w:t>衍射先把光斑吹大，再由口径决定丢多少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z_R = π w₀² / λ　；　w(z) = w₀·√(1 + (z/z_R)²)</w:t>
      </w:r>
    </w:p>
    <w:p>
      <w:pPr>
        <w:spacing w:before="80" w:after="160" w:line="312" w:lineRule="auto"/>
        <w:jc w:val="center"/>
      </w:pPr>
      <w:r>
        <w:rPr>
          <w:rFonts w:ascii="Cambria Math" w:hAnsi="Cambria Math" w:eastAsia="Songti SC"/>
          <w:color w:val="1A1A1A"/>
          <w:sz w:val="22"/>
        </w:rPr>
        <w:t>L_ap = exp(−2a² / w²)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发射口径取半径 25 cm、接收口径取半径 20 cm。</w:t>
      </w:r>
    </w:p>
    <w:tbl>
      <w:tblPr>
        <w:tblW w:w="8731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701"/>
        <w:gridCol w:w="2494"/>
        <w:gridCol w:w="1927"/>
        <w:gridCol w:w="2608"/>
      </w:tblGrid>
      <w:tr>
        <w:trPr>
          <w:cantSplit/>
          <w:tblHeader/>
        </w:trPr>
        <w:tc>
          <w:tcPr>
            <w:tcW w:type="dxa" w:w="170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7"/>
              </w:rPr>
              <w:t>距离</w:t>
            </w:r>
          </w:p>
        </w:tc>
        <w:tc>
          <w:tcPr>
            <w:tcW w:type="dxa" w:w="2494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7"/>
              </w:rPr>
              <w:t>光斑半径 w(z)</w:t>
            </w:r>
          </w:p>
        </w:tc>
        <w:tc>
          <w:tcPr>
            <w:tcW w:type="dxa" w:w="192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7"/>
              </w:rPr>
              <w:t>a/w</w:t>
            </w:r>
          </w:p>
        </w:tc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7"/>
              </w:rPr>
              <w:t>接收截断 L_ap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7"/>
              </w:rPr>
              <w:t>5 km</w:t>
            </w:r>
          </w:p>
        </w:tc>
        <w:tc>
          <w:tcPr>
            <w:tcW w:type="dxa" w:w="249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15.1 cm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1.33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2.98%</w:t>
            </w:r>
          </w:p>
        </w:tc>
      </w:tr>
      <w:tr>
        <w:trPr>
          <w:cantSplit/>
        </w:trPr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7"/>
              </w:rPr>
              <w:t>10 km</w:t>
            </w:r>
          </w:p>
        </w:tc>
        <w:tc>
          <w:tcPr>
            <w:tcW w:type="dxa" w:w="249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15.4 cm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1.30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3.36%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7"/>
              </w:rPr>
              <w:t>20 km</w:t>
            </w:r>
          </w:p>
        </w:tc>
        <w:tc>
          <w:tcPr>
            <w:tcW w:type="dxa" w:w="2494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16.4 cm</w:t>
            </w:r>
          </w:p>
        </w:tc>
        <w:tc>
          <w:tcPr>
            <w:tcW w:type="dxa" w:w="192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1.22</w:t>
            </w:r>
          </w:p>
        </w:tc>
        <w:tc>
          <w:tcPr>
            <w:tcW w:type="dxa" w:w="2608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5.07%</w:t>
            </w:r>
          </w:p>
        </w:tc>
      </w:tr>
      <w:tr>
        <w:trPr>
          <w:cantSplit/>
        </w:trPr>
        <w:tc>
          <w:tcPr>
            <w:tcW w:type="dxa" w:w="170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7"/>
              </w:rPr>
              <w:t>50 km</w:t>
            </w:r>
          </w:p>
        </w:tc>
        <w:tc>
          <w:tcPr>
            <w:tcW w:type="dxa" w:w="2494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22.3 cm</w:t>
            </w:r>
          </w:p>
        </w:tc>
        <w:tc>
          <w:tcPr>
            <w:tcW w:type="dxa" w:w="192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0.90</w:t>
            </w:r>
          </w:p>
        </w:tc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7"/>
              </w:rPr>
              <w:t>19.90%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before="30" w:after="30" w:line="276" w:lineRule="auto"/>
              <w:jc w:val="left"/>
            </w:pPr>
            <w:r>
              <w:rPr>
                <w:sz w:val="17"/>
              </w:rPr>
              <w:t>100 km</w:t>
            </w:r>
          </w:p>
        </w:tc>
        <w:tc>
          <w:tcPr>
            <w:tcW w:type="dxa" w:w="2494"/>
          </w:tcPr>
          <w:p>
            <w:pPr>
              <w:spacing w:before="30" w:after="30" w:line="276" w:lineRule="auto"/>
              <w:jc w:val="center"/>
            </w:pPr>
            <w:r>
              <w:rPr>
                <w:sz w:val="17"/>
              </w:rPr>
              <w:t>36.2 cm</w:t>
            </w:r>
          </w:p>
        </w:tc>
        <w:tc>
          <w:tcPr>
            <w:tcW w:type="dxa" w:w="1928"/>
          </w:tcPr>
          <w:p>
            <w:pPr>
              <w:spacing w:before="30" w:after="30" w:line="276" w:lineRule="auto"/>
              <w:jc w:val="center"/>
            </w:pPr>
            <w:r>
              <w:rPr>
                <w:sz w:val="17"/>
              </w:rPr>
              <w:t>0.55</w:t>
            </w:r>
          </w:p>
        </w:tc>
        <w:tc>
          <w:tcPr>
            <w:tcW w:type="dxa" w:w="2608"/>
          </w:tcPr>
          <w:p>
            <w:pPr>
              <w:spacing w:before="30" w:after="30" w:line="276" w:lineRule="auto"/>
              <w:jc w:val="center"/>
            </w:pPr>
            <w:r>
              <w:rPr>
                <w:sz w:val="17"/>
              </w:rPr>
              <w:t>54.22%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 xml:space="preserve">同一个口径，在 5 km 和 100 km 之间，截断损耗相差 </w:t>
      </w:r>
      <w:r>
        <w:rPr>
          <w:rFonts w:ascii="Times New Roman" w:hAnsi="Times New Roman" w:eastAsia="Songti SC"/>
          <w:b/>
          <w:color w:val="1A1A1A"/>
          <w:sz w:val="21"/>
        </w:rPr>
        <w:t>18 倍</w:t>
      </w:r>
      <w:r>
        <w:rPr>
          <w:rFonts w:ascii="Times New Roman" w:hAnsi="Times New Roman" w:eastAsia="Songti SC"/>
          <w:b w:val="0"/>
          <w:color w:val="1A1A1A"/>
          <w:sz w:val="21"/>
        </w:rPr>
        <w:t>。原因不是接收端变差了，是 z_R 只有几十公里，超过它光斑按距离线性展宽。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3  </w:t>
      </w:r>
      <w:r>
        <w:rPr>
          <w:rFonts w:ascii="PingFang SC" w:hAnsi="PingFang SC" w:eastAsia="PingFang SC"/>
          <w:b/>
          <w:color w:val="1F4E79"/>
          <w:sz w:val="26"/>
        </w:rPr>
        <w:t>口径是唯一的设计旋钮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i w:val="0"/>
          <w:color w:val="1A1A1A"/>
          <w:sz w:val="21"/>
        </w:rPr>
        <w:t>100 km 处光斑 36.2 cm，此时接收口径每大一倍，损耗下降一个量级：</w:t>
      </w:r>
    </w:p>
    <w:tbl>
      <w:tblPr>
        <w:tblW w:w="7030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2041"/>
        <w:gridCol w:w="2381"/>
      </w:tblGrid>
      <w:tr>
        <w:trPr>
          <w:cantSplit/>
          <w:tblHeader/>
        </w:trPr>
        <w:tc>
          <w:tcPr>
            <w:tcW w:type="dxa" w:w="2608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接收口径半径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a/w</w:t>
            </w:r>
          </w:p>
        </w:tc>
        <w:tc>
          <w:tcPr>
            <w:tcW w:type="dxa" w:w="2381"/>
            <w:shd w:val="clear" w:color="auto" w:fill="DCE6F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b/>
                <w:color w:val="1F4E79"/>
                <w:sz w:val="19"/>
              </w:rPr>
              <w:t>L_ap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10 cm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0.28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85.81%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20 cm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0.55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54.22%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30 cm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0.83</w:t>
            </w:r>
          </w:p>
        </w:tc>
        <w:tc>
          <w:tcPr>
            <w:tcW w:type="dxa" w:w="2381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25.23%</w:t>
            </w:r>
          </w:p>
        </w:tc>
      </w:tr>
      <w:tr>
        <w:trPr>
          <w:cantSplit/>
        </w:trPr>
        <w:tc>
          <w:tcPr>
            <w:tcW w:type="dxa" w:w="2608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40 cm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1.11</w:t>
            </w:r>
          </w:p>
        </w:tc>
        <w:tc>
          <w:tcPr>
            <w:tcW w:type="dxa" w:w="2381"/>
            <w:shd w:val="clear" w:color="auto" w:fill="F7F9FC"/>
          </w:tcPr>
          <w:p>
            <w:pPr>
              <w:keepNext/>
              <w:spacing w:before="30" w:after="30" w:line="276" w:lineRule="auto"/>
              <w:jc w:val="center"/>
            </w:pPr>
            <w:r>
              <w:rPr>
                <w:sz w:val="19"/>
              </w:rPr>
              <w:t>8.64%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60 cm</w:t>
            </w:r>
          </w:p>
        </w:tc>
        <w:tc>
          <w:tcPr>
            <w:tcW w:type="dxa" w:w="2041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1.66</w:t>
            </w:r>
          </w:p>
        </w:tc>
        <w:tc>
          <w:tcPr>
            <w:tcW w:type="dxa" w:w="2381"/>
          </w:tcPr>
          <w:p>
            <w:pPr>
              <w:spacing w:before="30" w:after="30" w:line="276" w:lineRule="auto"/>
              <w:jc w:val="center"/>
            </w:pPr>
            <w:r>
              <w:rPr>
                <w:sz w:val="19"/>
              </w:rPr>
              <w:t>0.40%</w:t>
            </w:r>
          </w:p>
        </w:tc>
      </w:tr>
    </w:tbl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/>
          <w:color w:val="1A1A1A"/>
          <w:sz w:val="21"/>
        </w:rPr>
        <w:t>这条曲线说明：长距离单跳的预算，本质上是「镜子多大」的预算。</w:t>
      </w:r>
      <w:r>
        <w:rPr>
          <w:rFonts w:ascii="Times New Roman" w:hAnsi="Times New Roman" w:eastAsia="Songti SC"/>
          <w:b w:val="0"/>
          <w:color w:val="1A1A1A"/>
          <w:sz w:val="21"/>
        </w:rPr>
        <w:t>把口径从 20 cm 提到 40 cm，截断从 54% 降到 8.6%——相当于白得 5.4 dB 的信号，而发射端功率翻四倍才能得到同样的 6 dB。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4  </w:t>
      </w:r>
      <w:r>
        <w:rPr>
          <w:rFonts w:ascii="PingFang SC" w:hAnsi="PingFang SC" w:eastAsia="PingFang SC"/>
          <w:b/>
          <w:color w:val="1F4E79"/>
          <w:sz w:val="26"/>
        </w:rPr>
        <w:t>与光纤链路对照</w:t>
      </w:r>
    </w:p>
    <w:tbl>
      <w:tblPr>
        <w:tblW w:w="7257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3175"/>
        <w:gridCol w:w="2041"/>
        <w:gridCol w:w="2041"/>
      </w:tblGrid>
      <w:tr>
        <w:trPr>
          <w:cantSplit/>
          <w:tblHeader/>
        </w:trPr>
        <w:tc>
          <w:tcPr>
            <w:tcW w:type="dxa" w:w="3175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链路类型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距离</w:t>
            </w:r>
          </w:p>
        </w:tc>
        <w:tc>
          <w:tcPr>
            <w:tcW w:type="dxa" w:w="204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9"/>
              </w:rPr>
              <w:t>几何占比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光纤（DAS 示例）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10 km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9.3%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光纤（DAS 示例）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50 km</w:t>
            </w:r>
          </w:p>
        </w:tc>
        <w:tc>
          <w:tcPr>
            <w:tcW w:type="dxa" w:w="204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2.7%</w:t>
            </w:r>
          </w:p>
        </w:tc>
      </w:tr>
      <w:tr>
        <w:trPr>
          <w:cantSplit/>
        </w:trPr>
        <w:tc>
          <w:tcPr>
            <w:tcW w:type="dxa" w:w="3175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自由空间单跳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10 km</w:t>
            </w:r>
          </w:p>
        </w:tc>
        <w:tc>
          <w:tcPr>
            <w:tcW w:type="dxa" w:w="204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9"/>
              </w:rPr>
              <w:t>3.4%</w:t>
            </w:r>
          </w:p>
        </w:tc>
      </w:tr>
      <w:tr>
        <w:trPr>
          <w:cantSplit/>
        </w:trPr>
        <w:tc>
          <w:tcPr>
            <w:tcW w:type="dxa" w:w="3175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自由空间单跳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100 km</w:t>
            </w:r>
          </w:p>
        </w:tc>
        <w:tc>
          <w:tcPr>
            <w:tcW w:type="dxa" w:w="2041"/>
            <w:shd w:val="clear" w:color="auto" w:fill="F7F9FC"/>
          </w:tcPr>
          <w:p>
            <w:pPr>
              <w:spacing w:before="30" w:after="30" w:line="276" w:lineRule="auto"/>
              <w:jc w:val="left"/>
            </w:pPr>
            <w:r>
              <w:rPr>
                <w:sz w:val="19"/>
              </w:rPr>
              <w:t>54.2%</w:t>
            </w:r>
          </w:p>
        </w:tc>
      </w:tr>
    </w:tbl>
    <w:p>
      <w:pPr>
        <w:spacing w:before="60" w:after="180" w:line="324" w:lineRule="auto"/>
      </w:pPr>
      <w:r>
        <w:rPr>
          <w:rFonts w:ascii="Times New Roman" w:hAnsi="Times New Roman" w:eastAsia="Songti SC"/>
          <w:color w:val="5A5A5A"/>
          <w:sz w:val="18"/>
        </w:rPr>
        <w:t>光纤组的数字取自《DAS 链路损耗清单模板》第 3 节；自由空间组为本文件第 2 节。两组用同一套 L_ap 公式，差别只在 w(z) 怎么长。</w:t>
      </w:r>
    </w:p>
    <w:p>
      <w:pPr>
        <w:spacing w:before="0" w:after="120" w:line="372" w:lineRule="auto"/>
        <w:ind w:firstLine="420"/>
      </w:pPr>
      <w:r>
        <w:rPr>
          <w:rFonts w:ascii="Times New Roman" w:hAnsi="Times New Roman" w:eastAsia="Songti SC"/>
          <w:b w:val="0"/>
          <w:color w:val="1A1A1A"/>
          <w:sz w:val="21"/>
        </w:rPr>
        <w:t>所以「几何核算有没有用」这个问题没有统一答案，只有适用区间：</w:t>
      </w:r>
      <w:r>
        <w:rPr>
          <w:rFonts w:ascii="Times New Roman" w:hAnsi="Times New Roman" w:eastAsia="Songti SC"/>
          <w:b/>
          <w:color w:val="1A1A1A"/>
          <w:sz w:val="21"/>
        </w:rPr>
        <w:t>光纤看短距离，自由空间看长距离。</w:t>
      </w:r>
      <w:r>
        <w:rPr>
          <w:rFonts w:ascii="Times New Roman" w:hAnsi="Times New Roman" w:eastAsia="Songti SC"/>
          <w:b w:val="0"/>
          <w:color w:val="1A1A1A"/>
          <w:sz w:val="21"/>
        </w:rPr>
        <w:t>两者都不是全程适用，这正是迁移前要先算一遍的理由。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5  </w:t>
      </w:r>
      <w:r>
        <w:rPr>
          <w:rFonts w:ascii="PingFang SC" w:hAnsi="PingFang SC" w:eastAsia="PingFang SC"/>
          <w:b/>
          <w:color w:val="1F4E79"/>
          <w:sz w:val="26"/>
        </w:rPr>
        <w:t>本文件不算的四件事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湍流。</w:t>
      </w:r>
      <w:r>
        <w:rPr>
          <w:rFonts w:ascii="Times New Roman" w:hAnsi="Times New Roman" w:eastAsia="Songti SC"/>
          <w:b w:val="0"/>
          <w:color w:val="1A1A1A"/>
          <w:sz w:val="21"/>
        </w:rPr>
        <w:t>闪烁与到达角起伏需要 Cn² 与路径模型，属统计描述，不在几何账本里。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指向抖动。</w:t>
      </w:r>
      <w:r>
        <w:rPr>
          <w:rFonts w:ascii="Times New Roman" w:hAnsi="Times New Roman" w:eastAsia="Songti SC"/>
          <w:b w:val="0"/>
          <w:color w:val="1A1A1A"/>
          <w:sz w:val="21"/>
        </w:rPr>
        <w:t>它是随机量，应按统计分布折成平均损耗，不能代进一个确定角度。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大气透过率。</w:t>
      </w:r>
      <w:r>
        <w:rPr>
          <w:rFonts w:ascii="Times New Roman" w:hAnsi="Times New Roman" w:eastAsia="Songti SC"/>
          <w:b w:val="0"/>
          <w:color w:val="1A1A1A"/>
          <w:sz w:val="21"/>
        </w:rPr>
        <w:t>与天气、波长、海拔相关，只能实测或按模型给区间。</w:t>
      </w:r>
    </w:p>
    <w:p>
      <w:pPr>
        <w:pStyle w:val="ListBullet"/>
        <w:spacing w:before="0" w:after="80" w:line="348" w:lineRule="auto"/>
        <w:ind w:left="425"/>
      </w:pPr>
      <w:r>
        <w:rPr>
          <w:rFonts w:ascii="Times New Roman" w:hAnsi="Times New Roman" w:eastAsia="Songti SC"/>
          <w:b/>
          <w:color w:val="1A1A1A"/>
          <w:sz w:val="21"/>
        </w:rPr>
        <w:t>背景光与滤波。</w:t>
      </w:r>
      <w:r>
        <w:rPr>
          <w:rFonts w:ascii="Times New Roman" w:hAnsi="Times New Roman" w:eastAsia="Songti SC"/>
          <w:b w:val="0"/>
          <w:color w:val="1A1A1A"/>
          <w:sz w:val="21"/>
        </w:rPr>
        <w:t>影响噪声项而非损耗项，应进 n 而不是 L。</w:t>
      </w:r>
    </w:p>
    <w:p>
      <w:pPr>
        <w:keepNext/>
        <w:pBdr>
          <w:bottom w:val="single" w:sz="6" w:space="3" w:color="BFCEDD"/>
        </w:pBdr>
        <w:spacing w:before="400" w:after="160"/>
      </w:pPr>
      <w:r>
        <w:rPr>
          <w:rFonts w:ascii="PingFang SC" w:hAnsi="PingFang SC" w:eastAsia="PingFang SC"/>
          <w:b/>
          <w:color w:val="1F4E79"/>
          <w:sz w:val="26"/>
        </w:rPr>
        <w:t xml:space="preserve">6  </w:t>
      </w:r>
      <w:r>
        <w:rPr>
          <w:rFonts w:ascii="PingFang SC" w:hAnsi="PingFang SC" w:eastAsia="PingFang SC"/>
          <w:b/>
          <w:color w:val="1F4E79"/>
          <w:sz w:val="26"/>
        </w:rPr>
        <w:t>复现</w:t>
      </w:r>
    </w:p>
    <w:tbl>
      <w:tblPr>
        <w:tblW w:w="9185" w:type="dxa"/>
        <w:jc w:val="center"/>
        <w:tblBorders>
          <w:top w:val="single" w:sz="4" w:space="0" w:color="C9D4E0"/>
          <w:left w:val="single" w:sz="4" w:space="0" w:color="C9D4E0"/>
          <w:bottom w:val="single" w:sz="4" w:space="0" w:color="C9D4E0"/>
          <w:right w:val="single" w:sz="4" w:space="0" w:color="C9D4E0"/>
          <w:insideH w:val="single" w:sz="4" w:space="0" w:color="C9D4E0"/>
          <w:insideV w:val="single" w:sz="4" w:space="0" w:color="C9D4E0"/>
        </w:tblBorders>
        <w:tblLayout w:type="fixed"/>
        <w:tblCellMar>
          <w:top w:w="50" w:type="dxa"/>
          <w:left w:w="90" w:type="dxa"/>
          <w:bottom w:w="50" w:type="dxa"/>
          <w:right w:w="90" w:type="dxa"/>
        </w:tblCellMar>
        <w:tblLook w:firstColumn="1" w:firstRow="1" w:lastColumn="0" w:lastRow="0" w:noHBand="0" w:noVBand="1" w:val="04A0"/>
      </w:tblPr>
      <w:tblGrid>
        <w:gridCol w:w="1360"/>
        <w:gridCol w:w="7824"/>
      </w:tblGrid>
      <w:tr>
        <w:trPr>
          <w:cantSplit/>
          <w:tblHeader/>
        </w:trPr>
        <w:tc>
          <w:tcPr>
            <w:tcW w:type="dxa" w:w="1361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项</w:t>
            </w:r>
          </w:p>
        </w:tc>
        <w:tc>
          <w:tcPr>
            <w:tcW w:type="dxa" w:w="7824"/>
            <w:shd w:val="clear" w:color="auto" w:fill="DCE6F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b/>
                <w:color w:val="1F4E79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版本</w:t>
            </w:r>
          </w:p>
        </w:tc>
        <w:tc>
          <w:tcPr>
            <w:tcW w:type="dxa" w:w="7824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geomloss 0.2.2（新增 mismatch.rayleigh / mismatch.waist_at）</w:t>
            </w:r>
          </w:p>
        </w:tc>
      </w:tr>
      <w:tr>
        <w:trPr>
          <w:cantSplit/>
        </w:trPr>
        <w:tc>
          <w:tcPr>
            <w:tcW w:type="dxa" w:w="1361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命令</w:t>
            </w:r>
          </w:p>
        </w:tc>
        <w:tc>
          <w:tcPr>
            <w:tcW w:type="dxa" w:w="7824"/>
            <w:shd w:val="clear" w:color="auto" w:fill="F7F9FC"/>
          </w:tcPr>
          <w:p>
            <w:pPr>
              <w:keepNext/>
              <w:spacing w:before="30" w:after="30" w:line="276" w:lineRule="auto"/>
              <w:jc w:val="left"/>
            </w:pPr>
            <w:r>
              <w:rPr>
                <w:sz w:val="18"/>
              </w:rPr>
              <w:t>python3 -c "from geomloss import mismatch as m; print(m.waist_at(0.15,1e5,1550e-9))"</w:t>
            </w:r>
          </w:p>
        </w:tc>
      </w:tr>
      <w:tr>
        <w:trPr>
          <w:cantSplit/>
        </w:trPr>
        <w:tc>
          <w:tcPr>
            <w:tcW w:type="dxa" w:w="1361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回归</w:t>
            </w:r>
          </w:p>
        </w:tc>
        <w:tc>
          <w:tcPr>
            <w:tcW w:type="dxa" w:w="7824"/>
          </w:tcPr>
          <w:p>
            <w:pPr>
              <w:spacing w:before="30" w:after="30" w:line="276" w:lineRule="auto"/>
              <w:jc w:val="left"/>
            </w:pPr>
            <w:r>
              <w:rPr>
                <w:sz w:val="18"/>
              </w:rPr>
              <w:t>python3 tests_geomloss.py（含 z_R 与 w(100 km) 两条）</w:t>
            </w:r>
          </w:p>
        </w:tc>
      </w:tr>
    </w:tbl>
    <w:p/>
    <w:tbl>
      <w:tblPr>
        <w:tblW w:w="9412" w:type="dxa"/>
        <w:jc w:val="center"/>
        <w:tblLayout w:type="fixed"/>
        <w:tblCellMar>
          <w:top w:w="140" w:type="dxa"/>
          <w:left w:w="220" w:type="dxa"/>
          <w:bottom w:w="140" w:type="dxa"/>
          <w:right w:w="200" w:type="dxa"/>
        </w:tblCellMar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nil"/>
              <w:left w:val="single" w:sz="18" w:space="0" w:color="1F4E79"/>
              <w:bottom w:val="nil"/>
              <w:right w:val="nil"/>
            </w:tcBorders>
            <w:shd w:val="clear" w:color="auto" w:fill="EEF3F9"/>
          </w:tcPr>
          <w:p>
            <w:pPr>
              <w:spacing w:after="120"/>
            </w:pPr>
            <w:r>
              <w:rPr>
                <w:rFonts w:ascii="PingFang SC" w:hAnsi="PingFang SC" w:eastAsia="PingFang SC"/>
                <w:b/>
                <w:color w:val="1F4E79"/>
                <w:sz w:val="20"/>
              </w:rPr>
              <w:t>一句话带走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1A1A1A"/>
                <w:sz w:val="20"/>
              </w:rPr>
              <w:t>判断「这条链路要不要算几何」，只需问一句：传播过程中 w 会不会变？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光纤里 w 基本不变，损耗按长度指数累加，几何占比随距离下降。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 w:val="0"/>
                <w:color w:val="1A1A1A"/>
                <w:sz w:val="20"/>
              </w:rPr>
              <w:t>自由空间里 w 按衍射展宽，几何占比随距离上升。</w:t>
            </w:r>
          </w:p>
          <w:p>
            <w:pPr>
              <w:spacing w:before="40" w:after="40" w:line="348" w:lineRule="auto"/>
            </w:pPr>
            <w:r>
              <w:rPr>
                <w:rFonts w:ascii="Times New Roman" w:hAnsi="Times New Roman" w:eastAsia="Songti SC"/>
                <w:b/>
                <w:color w:val="9C2700"/>
                <w:sz w:val="20"/>
              </w:rPr>
              <w:t>同一条 L_ap 公式，两种相反的结论——差别全在 w(z) 怎么长。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Songti SC"/>
        <w:color w:val="5A5A5A"/>
        <w:sz w:val="16"/>
      </w:rPr>
      <w:t>理论落地 · 自由空间单跳 · 2026-10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Songti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