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jc w:val="center"/>
      </w:pPr>
      <w:r>
        <w:rPr>
          <w:rFonts w:ascii="PingFang SC" w:hAnsi="PingFang SC" w:eastAsia="PingFang SC"/>
          <w:color w:val="5A5A5A"/>
          <w:sz w:val="24"/>
        </w:rPr>
        <w:t>T/×××—2026</w:t>
      </w:r>
    </w:p>
    <w:p>
      <w:pPr>
        <w:spacing w:before="720" w:after="120"/>
        <w:jc w:val="center"/>
      </w:pPr>
      <w:r>
        <w:rPr>
          <w:rFonts w:ascii="PingFang SC" w:hAnsi="PingFang SC" w:eastAsia="PingFang SC"/>
          <w:b/>
          <w:color w:val="1F4E79"/>
          <w:sz w:val="52"/>
        </w:rPr>
        <w:t>量子测量链路噪声预算核验规范</w:t>
      </w:r>
    </w:p>
    <w:p>
      <w:pPr>
        <w:spacing w:after="40"/>
        <w:jc w:val="center"/>
      </w:pPr>
      <w:r>
        <w:rPr>
          <w:rFonts w:ascii="Times New Roman" w:hAnsi="Times New Roman" w:eastAsia="Songti SC"/>
          <w:color w:val="5A5A5A"/>
          <w:sz w:val="22"/>
        </w:rPr>
        <w:t>Specification for noise-budget verification of quantum measurement links</w:t>
      </w:r>
    </w:p>
    <w:p>
      <w:pPr>
        <w:spacing w:before="600" w:after="80"/>
        <w:jc w:val="center"/>
      </w:pPr>
      <w:r>
        <w:rPr>
          <w:rFonts w:ascii="PingFang SC" w:hAnsi="PingFang SC" w:eastAsia="PingFang SC"/>
          <w:color w:val="9C2700"/>
          <w:sz w:val="24"/>
        </w:rPr>
        <w:t>（草案 · 工作组稿）</w:t>
      </w:r>
    </w:p>
    <w:p>
      <w:pPr>
        <w:spacing w:before="800" w:after="60"/>
        <w:jc w:val="center"/>
      </w:pPr>
      <w:r>
        <w:rPr>
          <w:rFonts w:ascii="Songti SC" w:hAnsi="Songti SC" w:eastAsia="Songti SC"/>
          <w:color w:val="5A5A5A"/>
          <w:sz w:val="20"/>
        </w:rPr>
        <w:t>2026-××-×× 发布                       2026-××-×× 实施</w:t>
      </w:r>
    </w:p>
    <w:p>
      <w:r>
        <w:br w:type="page"/>
      </w:r>
    </w:p>
    <w:p>
      <w:pPr>
        <w:keepNext/>
        <w:pBdr>
          <w:bottom w:val="single" w:sz="6" w:space="3" w:color="BFCEDD"/>
        </w:pBdr>
        <w:spacing w:before="400" w:after="160"/>
      </w:pPr>
      <w:r>
        <w:rPr>
          <w:rFonts w:ascii="PingFang SC" w:hAnsi="PingFang SC" w:eastAsia="PingFang SC"/>
          <w:b/>
          <w:color w:val="1F4E79"/>
          <w:sz w:val="26"/>
        </w:rPr>
        <w:t>前言</w:t>
      </w:r>
    </w:p>
    <w:p>
      <w:pPr>
        <w:spacing w:before="0" w:after="120" w:line="372" w:lineRule="auto"/>
        <w:ind w:firstLine="420"/>
      </w:pPr>
      <w:r>
        <w:rPr>
          <w:rFonts w:ascii="Times New Roman" w:hAnsi="Times New Roman" w:eastAsia="Songti SC"/>
          <w:b w:val="0"/>
          <w:i w:val="0"/>
          <w:color w:val="1A1A1A"/>
          <w:sz w:val="21"/>
        </w:rPr>
        <w:t>本文件按照 GB/T 1.1—2020《标准化工作导则　第 1 部分：标准化文件的结构和起草规则》给出的规则起草。</w:t>
      </w:r>
    </w:p>
    <w:p>
      <w:pPr>
        <w:spacing w:before="0" w:after="120" w:line="372" w:lineRule="auto"/>
        <w:ind w:firstLine="420"/>
      </w:pPr>
      <w:r>
        <w:rPr>
          <w:rFonts w:ascii="Times New Roman" w:hAnsi="Times New Roman" w:eastAsia="Songti SC"/>
          <w:b w:val="0"/>
          <w:i w:val="0"/>
          <w:color w:val="1A1A1A"/>
          <w:sz w:val="21"/>
        </w:rPr>
        <w:t>本文件的附录 A 为规范性附录，附录 B 和附录 C 为资料性附录。</w:t>
      </w:r>
    </w:p>
    <w:p>
      <w:pPr>
        <w:spacing w:before="0" w:after="120" w:line="372" w:lineRule="auto"/>
        <w:ind w:firstLine="420"/>
      </w:pPr>
      <w:r>
        <w:rPr>
          <w:rFonts w:ascii="Times New Roman" w:hAnsi="Times New Roman" w:eastAsia="Songti SC"/>
          <w:b w:val="0"/>
          <w:i w:val="0"/>
          <w:color w:val="1A1A1A"/>
          <w:sz w:val="21"/>
        </w:rPr>
        <w:t>本文件由 ×××××× 提出并归口。</w:t>
      </w:r>
    </w:p>
    <w:p>
      <w:pPr>
        <w:spacing w:before="0" w:after="120" w:line="372" w:lineRule="auto"/>
        <w:ind w:firstLine="420"/>
      </w:pPr>
      <w:r>
        <w:rPr>
          <w:rFonts w:ascii="Times New Roman" w:hAnsi="Times New Roman" w:eastAsia="Songti SC"/>
          <w:b w:val="0"/>
          <w:i w:val="0"/>
          <w:color w:val="1A1A1A"/>
          <w:sz w:val="21"/>
        </w:rPr>
        <w:t>本文件起草单位：××××××、××××××、××××××。</w:t>
      </w:r>
    </w:p>
    <w:p>
      <w:pPr>
        <w:spacing w:before="0" w:after="120" w:line="372" w:lineRule="auto"/>
        <w:ind w:firstLine="420"/>
      </w:pPr>
      <w:r>
        <w:rPr>
          <w:rFonts w:ascii="Times New Roman" w:hAnsi="Times New Roman" w:eastAsia="Songti SC"/>
          <w:b w:val="0"/>
          <w:i w:val="0"/>
          <w:color w:val="1A1A1A"/>
          <w:sz w:val="21"/>
        </w:rPr>
        <w:t>本文件主要起草人：×××、×××、×××。</w:t>
      </w:r>
    </w:p>
    <w:p>
      <w:pPr>
        <w:spacing w:before="0" w:after="120" w:line="372" w:lineRule="auto"/>
        <w:ind w:firstLine="420"/>
      </w:pPr>
      <w:r>
        <w:rPr>
          <w:rFonts w:ascii="Times New Roman" w:hAnsi="Times New Roman" w:eastAsia="Songti SC"/>
          <w:b w:val="0"/>
          <w:i w:val="0"/>
          <w:color w:val="1A1A1A"/>
          <w:sz w:val="21"/>
        </w:rPr>
        <w:t>本文件为首次发布。</w:t>
      </w:r>
    </w:p>
    <w:p>
      <w:pPr>
        <w:keepNext/>
        <w:spacing w:before="220" w:after="80"/>
      </w:pPr>
      <w:r>
        <w:rPr>
          <w:rFonts w:ascii="PingFang SC" w:hAnsi="PingFang SC" w:eastAsia="PingFang SC"/>
          <w:b/>
          <w:color w:val="1A1A1A"/>
          <w:sz w:val="22"/>
        </w:rPr>
        <w:t>引言</w:t>
      </w:r>
    </w:p>
    <w:p>
      <w:pPr>
        <w:spacing w:before="0" w:after="120" w:line="372" w:lineRule="auto"/>
        <w:ind w:firstLine="420"/>
      </w:pPr>
      <w:r>
        <w:rPr>
          <w:rFonts w:ascii="Times New Roman" w:hAnsi="Times New Roman" w:eastAsia="Songti SC"/>
          <w:b w:val="0"/>
          <w:i w:val="0"/>
          <w:color w:val="1A1A1A"/>
          <w:sz w:val="21"/>
        </w:rPr>
        <w:t>量子测量链路中，「实现 N dB 压缩」这一表述长期缺少统一的核算口径。同一句话可能指光源输出、样品处、或探测器读数，三者的差距可达数分贝；而决定实际测量收益的，是链路总损耗与附加噪声，这两项在多数报道中并未披露。</w:t>
      </w:r>
    </w:p>
    <w:p>
      <w:pPr>
        <w:spacing w:before="0" w:after="120" w:line="372" w:lineRule="auto"/>
        <w:ind w:firstLine="420"/>
      </w:pPr>
      <w:r>
        <w:rPr>
          <w:rFonts w:ascii="Times New Roman" w:hAnsi="Times New Roman" w:eastAsia="Songti SC"/>
          <w:b w:val="0"/>
          <w:i w:val="0"/>
          <w:color w:val="1A1A1A"/>
          <w:sz w:val="21"/>
        </w:rPr>
        <w:t>本文件不规定任何器件的性能指标，也不对具体技术路线作评价。本文件规定的是：指标的表示方式、最小披露集、计算方法、符合性等级与证书格式。其目的只有一个——使一个宣称可以在不依赖专有软件的条件下被第三方复算。</w:t>
      </w:r>
    </w:p>
    <w:p>
      <w:pPr>
        <w:spacing w:before="0" w:after="120" w:line="372" w:lineRule="auto"/>
        <w:ind w:firstLine="420"/>
      </w:pPr>
      <w:r>
        <w:rPr>
          <w:rFonts w:ascii="Times New Roman" w:hAnsi="Times New Roman" w:eastAsia="Songti SC"/>
          <w:b w:val="0"/>
          <w:i w:val="0"/>
          <w:color w:val="1A1A1A"/>
          <w:sz w:val="21"/>
        </w:rPr>
        <w:t>起草过程中的试点抽样（见附录 C）显示：30 篇已发表实验论文（2002—2026）中，摘要级同时给出压缩量与链路损耗的仅 1 篇；对其中 5 篇查阅全文后，4 篇在正文给出了可复算的损耗预算。这说明损耗数据本已存在，缺的是摘要级的定位信息——这正是 7.2 采用「给出或注明位置」而非「必须给出」的原因。</w:t>
      </w:r>
    </w:p>
    <w:p>
      <w:pPr>
        <w:keepNext/>
        <w:pBdr>
          <w:bottom w:val="single" w:sz="6" w:space="3" w:color="BFCEDD"/>
        </w:pBdr>
        <w:spacing w:before="400" w:after="160"/>
      </w:pPr>
      <w:r>
        <w:rPr>
          <w:rFonts w:ascii="PingFang SC" w:hAnsi="PingFang SC" w:eastAsia="PingFang SC"/>
          <w:b/>
          <w:color w:val="1F4E79"/>
          <w:sz w:val="26"/>
        </w:rPr>
        <w:t xml:space="preserve">1  </w:t>
      </w:r>
      <w:r>
        <w:rPr>
          <w:rFonts w:ascii="PingFang SC" w:hAnsi="PingFang SC" w:eastAsia="PingFang SC"/>
          <w:b/>
          <w:color w:val="1F4E79"/>
          <w:sz w:val="26"/>
        </w:rPr>
        <w:t>范围</w:t>
      </w:r>
    </w:p>
    <w:p>
      <w:pPr>
        <w:spacing w:before="40" w:after="60" w:line="360" w:lineRule="auto"/>
        <w:ind w:left="510" w:hanging="510"/>
      </w:pPr>
      <w:r>
        <w:rPr>
          <w:rFonts w:ascii="PingFang SC" w:hAnsi="PingFang SC" w:eastAsia="PingFang SC"/>
          <w:color w:val="1F4E79"/>
          <w:sz w:val="21"/>
        </w:rPr>
        <w:t xml:space="preserve">1.1  </w:t>
      </w:r>
      <w:r>
        <w:rPr>
          <w:rFonts w:ascii="Songti SC" w:hAnsi="Songti SC" w:eastAsia="Songti SC"/>
          <w:sz w:val="21"/>
        </w:rPr>
        <w:t>本文件规定了量子测量链路噪声预算的术语和定义、符号、核验流程、最小披露集、计算方法、符合性等级与证书格式。</w:t>
      </w:r>
    </w:p>
    <w:p>
      <w:pPr>
        <w:spacing w:before="40" w:after="60" w:line="360" w:lineRule="auto"/>
        <w:ind w:left="510" w:hanging="510"/>
      </w:pPr>
      <w:r>
        <w:rPr>
          <w:rFonts w:ascii="PingFang SC" w:hAnsi="PingFang SC" w:eastAsia="PingFang SC"/>
          <w:color w:val="1F4E79"/>
          <w:sz w:val="21"/>
        </w:rPr>
        <w:t xml:space="preserve">1.2  </w:t>
      </w:r>
      <w:r>
        <w:rPr>
          <w:rFonts w:ascii="Songti SC" w:hAnsi="Songti SC" w:eastAsia="Songti SC"/>
          <w:sz w:val="21"/>
        </w:rPr>
        <w:t>本文件适用于以压缩态、纠缠态等非经典光源，或自旋压缩、压缩库等非经典资源为基础相位测量、频率测量与相干读出链路，包括但不限于光学干涉、原子干涉、原子钟、光机振子与超导读出。</w:t>
      </w:r>
    </w:p>
    <w:p>
      <w:pPr>
        <w:spacing w:before="40" w:after="60" w:line="360" w:lineRule="auto"/>
        <w:ind w:left="510" w:hanging="510"/>
      </w:pPr>
      <w:r>
        <w:rPr>
          <w:rFonts w:ascii="PingFang SC" w:hAnsi="PingFang SC" w:eastAsia="PingFang SC"/>
          <w:color w:val="1F4E79"/>
          <w:sz w:val="21"/>
        </w:rPr>
        <w:t xml:space="preserve">1.3  </w:t>
      </w:r>
      <w:r>
        <w:rPr>
          <w:rFonts w:ascii="Songti SC" w:hAnsi="Songti SC" w:eastAsia="Songti SC"/>
          <w:sz w:val="21"/>
        </w:rPr>
        <w:t>本文件不适用于：非高斯态与光子计数测量的完整表征；多参数联合估计；器件物理性能（灵敏度、带宽、稳定性）本身的评价。</w:t>
      </w:r>
    </w:p>
    <w:p>
      <w:pPr>
        <w:keepNext/>
        <w:pBdr>
          <w:bottom w:val="single" w:sz="6" w:space="3" w:color="BFCEDD"/>
        </w:pBdr>
        <w:spacing w:before="400" w:after="160"/>
      </w:pPr>
      <w:r>
        <w:rPr>
          <w:rFonts w:ascii="PingFang SC" w:hAnsi="PingFang SC" w:eastAsia="PingFang SC"/>
          <w:b/>
          <w:color w:val="1F4E79"/>
          <w:sz w:val="26"/>
        </w:rPr>
        <w:t xml:space="preserve">2  </w:t>
      </w:r>
      <w:r>
        <w:rPr>
          <w:rFonts w:ascii="PingFang SC" w:hAnsi="PingFang SC" w:eastAsia="PingFang SC"/>
          <w:b/>
          <w:color w:val="1F4E79"/>
          <w:sz w:val="26"/>
        </w:rPr>
        <w:t>规范性引用文件</w:t>
      </w:r>
    </w:p>
    <w:p>
      <w:pPr>
        <w:spacing w:before="0" w:after="120" w:line="372" w:lineRule="auto"/>
        <w:ind w:firstLine="420"/>
      </w:pPr>
      <w:r>
        <w:rPr>
          <w:rFonts w:ascii="Times New Roman" w:hAnsi="Times New Roman" w:eastAsia="Songti SC"/>
          <w:b w:val="0"/>
          <w:i w:val="0"/>
          <w:color w:val="1A1A1A"/>
          <w:sz w:val="21"/>
        </w:rPr>
        <w:t>下列文件中的内容通过文中的规范性引用而构成本文件必不可少的条款。其中，注日期的引用文件，仅该日期对应的版本适用于本文件；不注日期的引用文件，其最新版本（包括所有的修改单）适用于本文件。</w:t>
      </w:r>
    </w:p>
    <w:p>
      <w:pPr>
        <w:spacing w:before="40" w:after="60" w:line="360" w:lineRule="auto"/>
        <w:ind w:left="510" w:hanging="510"/>
      </w:pPr>
      <w:r>
        <w:rPr>
          <w:rFonts w:ascii="PingFang SC" w:hAnsi="PingFang SC" w:eastAsia="PingFang SC"/>
          <w:color w:val="1F4E79"/>
          <w:sz w:val="21"/>
        </w:rPr>
        <w:t xml:space="preserve">GB/T 1.1—2020  </w:t>
      </w:r>
      <w:r>
        <w:rPr>
          <w:rFonts w:ascii="Songti SC" w:hAnsi="Songti SC" w:eastAsia="Songti SC"/>
          <w:sz w:val="21"/>
        </w:rPr>
        <w:t>标准化工作导则　第 1 部分：标准化文件的结构和起草规则</w:t>
      </w:r>
    </w:p>
    <w:p>
      <w:pPr>
        <w:spacing w:before="40" w:after="60" w:line="360" w:lineRule="auto"/>
        <w:ind w:left="510" w:hanging="510"/>
      </w:pPr>
      <w:r>
        <w:rPr>
          <w:rFonts w:ascii="PingFang SC" w:hAnsi="PingFang SC" w:eastAsia="PingFang SC"/>
          <w:color w:val="1F4E79"/>
          <w:sz w:val="21"/>
        </w:rPr>
        <w:t xml:space="preserve">GB/T 20001.1—2020  </w:t>
      </w:r>
      <w:r>
        <w:rPr>
          <w:rFonts w:ascii="Songti SC" w:hAnsi="Songti SC" w:eastAsia="Songti SC"/>
          <w:sz w:val="21"/>
        </w:rPr>
        <w:t>标准编写规则　第 1 部分：术语标准</w:t>
      </w:r>
    </w:p>
    <w:p>
      <w:pPr>
        <w:spacing w:before="40" w:after="60" w:line="360" w:lineRule="auto"/>
        <w:ind w:left="510" w:hanging="510"/>
      </w:pPr>
      <w:r>
        <w:rPr>
          <w:rFonts w:ascii="PingFang SC" w:hAnsi="PingFang SC" w:eastAsia="PingFang SC"/>
          <w:color w:val="1F4E79"/>
          <w:sz w:val="21"/>
        </w:rPr>
        <w:t xml:space="preserve">JJF 1001—2011  </w:t>
      </w:r>
      <w:r>
        <w:rPr>
          <w:rFonts w:ascii="Songti SC" w:hAnsi="Songti SC" w:eastAsia="Songti SC"/>
          <w:sz w:val="21"/>
        </w:rPr>
        <w:t>通用计量术语及定义</w:t>
      </w:r>
    </w:p>
    <w:p>
      <w:pPr>
        <w:spacing w:before="40" w:after="60" w:line="360" w:lineRule="auto"/>
        <w:ind w:left="510" w:hanging="510"/>
      </w:pPr>
      <w:r>
        <w:rPr>
          <w:rFonts w:ascii="PingFang SC" w:hAnsi="PingFang SC" w:eastAsia="PingFang SC"/>
          <w:color w:val="1F4E79"/>
          <w:sz w:val="21"/>
        </w:rPr>
        <w:t xml:space="preserve">ISO/IEC Guide 99:2007  </w:t>
      </w:r>
      <w:r>
        <w:rPr>
          <w:rFonts w:ascii="Songti SC" w:hAnsi="Songti SC" w:eastAsia="Songti SC"/>
          <w:sz w:val="21"/>
        </w:rPr>
        <w:t>International vocabulary of metrology — Basic and general concepts and associated terms (VIM)</w:t>
      </w:r>
    </w:p>
    <w:p>
      <w:pPr>
        <w:keepNext/>
        <w:pBdr>
          <w:bottom w:val="single" w:sz="6" w:space="3" w:color="BFCEDD"/>
        </w:pBdr>
        <w:spacing w:before="400" w:after="160"/>
      </w:pPr>
      <w:r>
        <w:rPr>
          <w:rFonts w:ascii="PingFang SC" w:hAnsi="PingFang SC" w:eastAsia="PingFang SC"/>
          <w:b/>
          <w:color w:val="1F4E79"/>
          <w:sz w:val="26"/>
        </w:rPr>
        <w:t xml:space="preserve">3  </w:t>
      </w:r>
      <w:r>
        <w:rPr>
          <w:rFonts w:ascii="PingFang SC" w:hAnsi="PingFang SC" w:eastAsia="PingFang SC"/>
          <w:b/>
          <w:color w:val="1F4E79"/>
          <w:sz w:val="26"/>
        </w:rPr>
        <w:t>术语和定义</w:t>
      </w:r>
    </w:p>
    <w:p>
      <w:pPr>
        <w:spacing w:before="0" w:after="120" w:line="372" w:lineRule="auto"/>
        <w:ind w:firstLine="420"/>
      </w:pPr>
      <w:r>
        <w:rPr>
          <w:rFonts w:ascii="Times New Roman" w:hAnsi="Times New Roman" w:eastAsia="Songti SC"/>
          <w:b w:val="0"/>
          <w:i w:val="0"/>
          <w:color w:val="1A1A1A"/>
          <w:sz w:val="21"/>
        </w:rPr>
        <w:t>JJF 1001—2011 和 ISO/IEC Guide 99:2007 界定的以及下列术语和定义适用于本文件。</w:t>
      </w:r>
    </w:p>
    <w:p>
      <w:pPr>
        <w:spacing w:before="60" w:after="60" w:line="360" w:lineRule="auto"/>
        <w:ind w:left="510" w:hanging="510"/>
      </w:pPr>
      <w:r>
        <w:rPr>
          <w:rFonts w:ascii="PingFang SC" w:hAnsi="PingFang SC" w:eastAsia="PingFang SC"/>
          <w:color w:val="1F4E79"/>
          <w:sz w:val="21"/>
        </w:rPr>
        <w:t xml:space="preserve">3.1  </w:t>
      </w:r>
      <w:r>
        <w:rPr>
          <w:rFonts w:ascii="PingFang SC" w:hAnsi="PingFang SC" w:eastAsia="PingFang SC"/>
          <w:b/>
          <w:sz w:val="21"/>
        </w:rPr>
        <w:t>噪声预算</w:t>
      </w:r>
      <w:r>
        <w:rPr>
          <w:rFonts w:ascii="Songti SC" w:hAnsi="Songti SC" w:eastAsia="Songti SC"/>
          <w:sz w:val="21"/>
        </w:rPr>
        <w:t xml:space="preserve">  在给定测量链路中，对各类噪声贡献按其传递关系进行的定量核算。噪声预算以真空方差为单位表示。</w:t>
      </w:r>
    </w:p>
    <w:p>
      <w:pPr>
        <w:spacing w:before="60" w:after="60" w:line="360" w:lineRule="auto"/>
        <w:ind w:left="510" w:hanging="510"/>
      </w:pPr>
      <w:r>
        <w:rPr>
          <w:rFonts w:ascii="PingFang SC" w:hAnsi="PingFang SC" w:eastAsia="PingFang SC"/>
          <w:color w:val="1F4E79"/>
          <w:sz w:val="21"/>
        </w:rPr>
        <w:t xml:space="preserve">3.2  </w:t>
      </w:r>
      <w:r>
        <w:rPr>
          <w:rFonts w:ascii="PingFang SC" w:hAnsi="PingFang SC" w:eastAsia="PingFang SC"/>
          <w:b/>
          <w:sz w:val="21"/>
        </w:rPr>
        <w:t>压缩度</w:t>
      </w:r>
      <w:r>
        <w:rPr>
          <w:rFonts w:ascii="Songti SC" w:hAnsi="Songti SC" w:eastAsia="Songti SC"/>
          <w:sz w:val="21"/>
        </w:rPr>
        <w:t xml:space="preserve">  压缩态在目标正交分量上相对真空的方差抑制量，以 dB 表示，等于 −10·lg V_sq。</w:t>
      </w:r>
    </w:p>
    <w:p>
      <w:pPr>
        <w:spacing w:before="60" w:after="60" w:line="360" w:lineRule="auto"/>
        <w:ind w:left="510" w:hanging="510"/>
      </w:pPr>
      <w:r>
        <w:rPr>
          <w:rFonts w:ascii="PingFang SC" w:hAnsi="PingFang SC" w:eastAsia="PingFang SC"/>
          <w:color w:val="1F4E79"/>
          <w:sz w:val="21"/>
        </w:rPr>
        <w:t xml:space="preserve">3.3  </w:t>
      </w:r>
      <w:r>
        <w:rPr>
          <w:rFonts w:ascii="PingFang SC" w:hAnsi="PingFang SC" w:eastAsia="PingFang SC"/>
          <w:b/>
          <w:sz w:val="21"/>
        </w:rPr>
        <w:t>链路总损耗</w:t>
      </w:r>
      <w:r>
        <w:rPr>
          <w:rFonts w:ascii="Songti SC" w:hAnsi="Songti SC" w:eastAsia="Songti SC"/>
          <w:sz w:val="21"/>
        </w:rPr>
        <w:t xml:space="preserve">  从光源输出到探测器读数之间，全部传输、光学元件、模式匹配与探测效率引起的透过率损失的合计，记为 L，0 ≤ L &lt; 1。</w:t>
      </w:r>
    </w:p>
    <w:p>
      <w:pPr>
        <w:spacing w:before="60" w:after="60" w:line="360" w:lineRule="auto"/>
        <w:ind w:left="510" w:hanging="510"/>
      </w:pPr>
      <w:r>
        <w:rPr>
          <w:rFonts w:ascii="PingFang SC" w:hAnsi="PingFang SC" w:eastAsia="PingFang SC"/>
          <w:color w:val="1F4E79"/>
          <w:sz w:val="21"/>
        </w:rPr>
        <w:t xml:space="preserve">3.4  </w:t>
      </w:r>
      <w:r>
        <w:rPr>
          <w:rFonts w:ascii="PingFang SC" w:hAnsi="PingFang SC" w:eastAsia="PingFang SC"/>
          <w:b/>
          <w:sz w:val="21"/>
        </w:rPr>
        <w:t>附加噪声</w:t>
      </w:r>
      <w:r>
        <w:rPr>
          <w:rFonts w:ascii="Songti SC" w:hAnsi="Songti SC" w:eastAsia="Songti SC"/>
          <w:sz w:val="21"/>
        </w:rPr>
        <w:t xml:space="preserve">  除真空涨落与链路损耗之外，由设备或环境引入的等效噪声，以真空方差为单位，记为 n，n ≥ 0。</w:t>
      </w:r>
    </w:p>
    <w:p>
      <w:pPr>
        <w:spacing w:before="60" w:after="60" w:line="360" w:lineRule="auto"/>
        <w:ind w:left="510" w:hanging="510"/>
      </w:pPr>
      <w:r>
        <w:rPr>
          <w:rFonts w:ascii="PingFang SC" w:hAnsi="PingFang SC" w:eastAsia="PingFang SC"/>
          <w:color w:val="1F4E79"/>
          <w:sz w:val="21"/>
        </w:rPr>
        <w:t xml:space="preserve">3.5  </w:t>
      </w:r>
      <w:r>
        <w:rPr>
          <w:rFonts w:ascii="PingFang SC" w:hAnsi="PingFang SC" w:eastAsia="PingFang SC"/>
          <w:b/>
          <w:sz w:val="21"/>
        </w:rPr>
        <w:t>有效压缩</w:t>
      </w:r>
      <w:r>
        <w:rPr>
          <w:rFonts w:ascii="Songti SC" w:hAnsi="Songti SC" w:eastAsia="Songti SC"/>
          <w:sz w:val="21"/>
        </w:rPr>
        <w:t xml:space="preserve">  在探测器读数处实际观测到的方差抑制量，以 dB 表示。有效压缩是噪声预算的唯一终值。</w:t>
      </w:r>
    </w:p>
    <w:p>
      <w:pPr>
        <w:spacing w:before="60" w:after="60" w:line="360" w:lineRule="auto"/>
        <w:ind w:left="510" w:hanging="510"/>
      </w:pPr>
      <w:r>
        <w:rPr>
          <w:rFonts w:ascii="PingFang SC" w:hAnsi="PingFang SC" w:eastAsia="PingFang SC"/>
          <w:color w:val="1F4E79"/>
          <w:sz w:val="21"/>
        </w:rPr>
        <w:t xml:space="preserve">3.6  </w:t>
      </w:r>
      <w:r>
        <w:rPr>
          <w:rFonts w:ascii="PingFang SC" w:hAnsi="PingFang SC" w:eastAsia="PingFang SC"/>
          <w:b/>
          <w:sz w:val="21"/>
        </w:rPr>
        <w:t>基线</w:t>
      </w:r>
      <w:r>
        <w:rPr>
          <w:rFonts w:ascii="Songti SC" w:hAnsi="Songti SC" w:eastAsia="Songti SC"/>
          <w:sz w:val="21"/>
        </w:rPr>
        <w:t xml:space="preserve">  不使用非经典资源时，同类测量所能达到的噪声水平。光学相位测量中通常取相干态的标准量子极限。</w:t>
      </w:r>
    </w:p>
    <w:p>
      <w:pPr>
        <w:spacing w:before="60" w:after="60" w:line="360" w:lineRule="auto"/>
        <w:ind w:left="510" w:hanging="510"/>
      </w:pPr>
      <w:r>
        <w:rPr>
          <w:rFonts w:ascii="PingFang SC" w:hAnsi="PingFang SC" w:eastAsia="PingFang SC"/>
          <w:color w:val="1F4E79"/>
          <w:sz w:val="21"/>
        </w:rPr>
        <w:t xml:space="preserve">3.7  </w:t>
      </w:r>
      <w:r>
        <w:rPr>
          <w:rFonts w:ascii="PingFang SC" w:hAnsi="PingFang SC" w:eastAsia="PingFang SC"/>
          <w:b/>
          <w:sz w:val="21"/>
        </w:rPr>
        <w:t>辅助路由</w:t>
      </w:r>
      <w:r>
        <w:rPr>
          <w:rFonts w:ascii="Songti SC" w:hAnsi="Songti SC" w:eastAsia="Songti SC"/>
          <w:sz w:val="21"/>
        </w:rPr>
        <w:t xml:space="preserve">  将噪声从读数模转移至非读数模的操作。其代价由两个参数描述：路由份额 f 与回路代价 ε。</w:t>
      </w:r>
    </w:p>
    <w:p>
      <w:pPr>
        <w:spacing w:before="60" w:after="60" w:line="360" w:lineRule="auto"/>
        <w:ind w:left="510" w:hanging="510"/>
      </w:pPr>
      <w:r>
        <w:rPr>
          <w:rFonts w:ascii="PingFang SC" w:hAnsi="PingFang SC" w:eastAsia="PingFang SC"/>
          <w:color w:val="1F4E79"/>
          <w:sz w:val="21"/>
        </w:rPr>
        <w:t xml:space="preserve">3.8  </w:t>
      </w:r>
      <w:r>
        <w:rPr>
          <w:rFonts w:ascii="PingFang SC" w:hAnsi="PingFang SC" w:eastAsia="PingFang SC"/>
          <w:b/>
          <w:sz w:val="21"/>
        </w:rPr>
        <w:t>盈亏平衡点</w:t>
      </w:r>
      <w:r>
        <w:rPr>
          <w:rFonts w:ascii="Songti SC" w:hAnsi="Songti SC" w:eastAsia="Songti SC"/>
          <w:sz w:val="21"/>
        </w:rPr>
        <w:t xml:space="preserve">  使辅助路由的净收益为零的回路代价阈值，记为 ε*。</w:t>
      </w:r>
    </w:p>
    <w:p>
      <w:pPr>
        <w:spacing w:before="60" w:after="60" w:line="360" w:lineRule="auto"/>
        <w:ind w:left="510" w:hanging="510"/>
      </w:pPr>
      <w:r>
        <w:rPr>
          <w:rFonts w:ascii="PingFang SC" w:hAnsi="PingFang SC" w:eastAsia="PingFang SC"/>
          <w:color w:val="1F4E79"/>
          <w:sz w:val="21"/>
        </w:rPr>
        <w:t xml:space="preserve">3.9  </w:t>
      </w:r>
      <w:r>
        <w:rPr>
          <w:rFonts w:ascii="PingFang SC" w:hAnsi="PingFang SC" w:eastAsia="PingFang SC"/>
          <w:b/>
          <w:sz w:val="21"/>
        </w:rPr>
        <w:t>相干时间增益</w:t>
      </w:r>
      <w:r>
        <w:rPr>
          <w:rFonts w:ascii="Songti SC" w:hAnsi="Songti SC" w:eastAsia="Songti SC"/>
          <w:sz w:val="21"/>
        </w:rPr>
        <w:t xml:space="preserve">  采用相干保护措施后与措施前的相干时间之比，记为 k。</w:t>
      </w:r>
    </w:p>
    <w:p>
      <w:pPr>
        <w:spacing w:before="60" w:after="60" w:line="360" w:lineRule="auto"/>
        <w:ind w:left="510" w:hanging="510"/>
      </w:pPr>
      <w:r>
        <w:rPr>
          <w:rFonts w:ascii="PingFang SC" w:hAnsi="PingFang SC" w:eastAsia="PingFang SC"/>
          <w:color w:val="1F4E79"/>
          <w:sz w:val="21"/>
        </w:rPr>
        <w:t xml:space="preserve">3.10  </w:t>
      </w:r>
      <w:r>
        <w:rPr>
          <w:rFonts w:ascii="PingFang SC" w:hAnsi="PingFang SC" w:eastAsia="PingFang SC"/>
          <w:b/>
          <w:sz w:val="21"/>
        </w:rPr>
        <w:t>证书</w:t>
      </w:r>
      <w:r>
        <w:rPr>
          <w:rFonts w:ascii="Songti SC" w:hAnsi="Songti SC" w:eastAsia="Songti SC"/>
          <w:sz w:val="21"/>
        </w:rPr>
        <w:t xml:space="preserve">  按本文件出具的核验结果文件，包含对象、口径、数据、结论、边界与复现包。</w:t>
      </w:r>
    </w:p>
    <w:p>
      <w:pPr>
        <w:keepNext/>
        <w:pBdr>
          <w:bottom w:val="single" w:sz="6" w:space="3" w:color="BFCEDD"/>
        </w:pBdr>
        <w:spacing w:before="400" w:after="160"/>
      </w:pPr>
      <w:r>
        <w:rPr>
          <w:rFonts w:ascii="PingFang SC" w:hAnsi="PingFang SC" w:eastAsia="PingFang SC"/>
          <w:b/>
          <w:color w:val="1F4E79"/>
          <w:sz w:val="26"/>
        </w:rPr>
        <w:t xml:space="preserve">4  </w:t>
      </w:r>
      <w:r>
        <w:rPr>
          <w:rFonts w:ascii="PingFang SC" w:hAnsi="PingFang SC" w:eastAsia="PingFang SC"/>
          <w:b/>
          <w:color w:val="1F4E79"/>
          <w:sz w:val="26"/>
        </w:rPr>
        <w:t>符号</w:t>
      </w:r>
    </w:p>
    <w:p>
      <w:pPr>
        <w:keepNext/>
        <w:spacing w:before="120" w:after="60"/>
      </w:pPr>
      <w:r>
        <w:rPr>
          <w:rFonts w:ascii="PingFang SC" w:hAnsi="PingFang SC" w:eastAsia="PingFang SC"/>
          <w:b/>
          <w:color w:val="1A1A1A"/>
          <w:sz w:val="19"/>
        </w:rPr>
        <w:t>表 1  符号与含义</w:t>
      </w:r>
    </w:p>
    <w:tbl>
      <w:tblPr>
        <w:tblW w:w="9412" w:type="dxa"/>
        <w:jc w:val="center"/>
        <w:tblBorders>
          <w:top w:val="single" w:sz="4" w:space="0" w:color="C9D4E0"/>
          <w:left w:val="single" w:sz="4" w:space="0" w:color="C9D4E0"/>
          <w:bottom w:val="single" w:sz="4" w:space="0" w:color="C9D4E0"/>
          <w:right w:val="single" w:sz="4" w:space="0" w:color="C9D4E0"/>
          <w:insideH w:val="single" w:sz="4" w:space="0" w:color="C9D4E0"/>
          <w:insideV w:val="single" w:sz="4" w:space="0" w:color="C9D4E0"/>
        </w:tblBorders>
        <w:tblLayout w:type="fixed"/>
        <w:tblCellMar>
          <w:top w:w="50" w:type="dxa"/>
          <w:left w:w="90" w:type="dxa"/>
          <w:bottom w:w="50" w:type="dxa"/>
          <w:right w:w="90" w:type="dxa"/>
        </w:tblCellMar>
        <w:tblLook w:firstColumn="1" w:firstRow="1" w:lastColumn="0" w:lastRow="0" w:noHBand="0" w:noVBand="1" w:val="04A0"/>
      </w:tblPr>
      <w:tblGrid>
        <w:gridCol w:w="1814"/>
        <w:gridCol w:w="4536"/>
        <w:gridCol w:w="3061"/>
      </w:tblGrid>
      <w:tr>
        <w:trPr>
          <w:cantSplit/>
          <w:tblHeader/>
        </w:trPr>
        <w:tc>
          <w:tcPr>
            <w:tcW w:type="dxa" w:w="1814"/>
            <w:shd w:val="clear" w:color="auto" w:fill="DCE6F1"/>
          </w:tcPr>
          <w:p>
            <w:pPr>
              <w:keepNext/>
              <w:spacing w:before="30" w:after="30" w:line="276" w:lineRule="auto"/>
              <w:jc w:val="left"/>
            </w:pPr>
            <w:r>
              <w:rPr>
                <w:b/>
                <w:color w:val="1F4E79"/>
                <w:sz w:val="19"/>
              </w:rPr>
              <w:t>符号</w:t>
            </w:r>
          </w:p>
        </w:tc>
        <w:tc>
          <w:tcPr>
            <w:tcW w:type="dxa" w:w="4535"/>
            <w:shd w:val="clear" w:color="auto" w:fill="DCE6F1"/>
          </w:tcPr>
          <w:p>
            <w:pPr>
              <w:keepNext/>
              <w:spacing w:before="30" w:after="30" w:line="276" w:lineRule="auto"/>
              <w:jc w:val="left"/>
            </w:pPr>
            <w:r>
              <w:rPr>
                <w:b/>
                <w:color w:val="1F4E79"/>
                <w:sz w:val="19"/>
              </w:rPr>
              <w:t>含义</w:t>
            </w:r>
          </w:p>
        </w:tc>
        <w:tc>
          <w:tcPr>
            <w:tcW w:type="dxa" w:w="3061"/>
            <w:shd w:val="clear" w:color="auto" w:fill="DCE6F1"/>
          </w:tcPr>
          <w:p>
            <w:pPr>
              <w:keepNext/>
              <w:spacing w:before="30" w:after="30" w:line="276" w:lineRule="auto"/>
              <w:jc w:val="left"/>
            </w:pPr>
            <w:r>
              <w:rPr>
                <w:b/>
                <w:color w:val="1F4E79"/>
                <w:sz w:val="19"/>
              </w:rPr>
              <w:t>单位</w:t>
            </w:r>
          </w:p>
        </w:tc>
      </w:tr>
      <w:tr>
        <w:trPr>
          <w:cantSplit/>
        </w:trPr>
        <w:tc>
          <w:tcPr>
            <w:tcW w:type="dxa" w:w="1814"/>
          </w:tcPr>
          <w:p>
            <w:pPr>
              <w:keepNext/>
              <w:spacing w:before="30" w:after="30" w:line="276" w:lineRule="auto"/>
              <w:jc w:val="left"/>
            </w:pPr>
            <w:r>
              <w:rPr>
                <w:sz w:val="19"/>
              </w:rPr>
              <w:t>L</w:t>
            </w:r>
          </w:p>
        </w:tc>
        <w:tc>
          <w:tcPr>
            <w:tcW w:type="dxa" w:w="4535"/>
          </w:tcPr>
          <w:p>
            <w:pPr>
              <w:keepNext/>
              <w:spacing w:before="30" w:after="30" w:line="276" w:lineRule="auto"/>
              <w:jc w:val="left"/>
            </w:pPr>
            <w:r>
              <w:rPr>
                <w:sz w:val="19"/>
              </w:rPr>
              <w:t>链路总损耗</w:t>
            </w:r>
          </w:p>
        </w:tc>
        <w:tc>
          <w:tcPr>
            <w:tcW w:type="dxa" w:w="3061"/>
          </w:tcPr>
          <w:p>
            <w:pPr>
              <w:keepNext/>
              <w:spacing w:before="30" w:after="30" w:line="276" w:lineRule="auto"/>
              <w:jc w:val="left"/>
            </w:pPr>
            <w:r>
              <w:rPr>
                <w:sz w:val="19"/>
              </w:rPr>
              <w:t>无量纲（0 ≤ L &lt; 1）</w:t>
            </w:r>
          </w:p>
        </w:tc>
      </w:tr>
      <w:tr>
        <w:trPr>
          <w:cantSplit/>
        </w:trPr>
        <w:tc>
          <w:tcPr>
            <w:tcW w:type="dxa" w:w="1814"/>
            <w:shd w:val="clear" w:color="auto" w:fill="F7F9FC"/>
          </w:tcPr>
          <w:p>
            <w:pPr>
              <w:keepNext/>
              <w:spacing w:before="30" w:after="30" w:line="276" w:lineRule="auto"/>
              <w:jc w:val="left"/>
            </w:pPr>
            <w:r>
              <w:rPr>
                <w:sz w:val="19"/>
              </w:rPr>
              <w:t>η</w:t>
            </w:r>
          </w:p>
        </w:tc>
        <w:tc>
          <w:tcPr>
            <w:tcW w:type="dxa" w:w="4535"/>
            <w:shd w:val="clear" w:color="auto" w:fill="F7F9FC"/>
          </w:tcPr>
          <w:p>
            <w:pPr>
              <w:keepNext/>
              <w:spacing w:before="30" w:after="30" w:line="276" w:lineRule="auto"/>
              <w:jc w:val="left"/>
            </w:pPr>
            <w:r>
              <w:rPr>
                <w:sz w:val="19"/>
              </w:rPr>
              <w:t>总透过率，η = 1 − L</w:t>
            </w:r>
          </w:p>
        </w:tc>
        <w:tc>
          <w:tcPr>
            <w:tcW w:type="dxa" w:w="3061"/>
            <w:shd w:val="clear" w:color="auto" w:fill="F7F9FC"/>
          </w:tcPr>
          <w:p>
            <w:pPr>
              <w:keepNext/>
              <w:spacing w:before="30" w:after="30" w:line="276" w:lineRule="auto"/>
              <w:jc w:val="left"/>
            </w:pPr>
            <w:r>
              <w:rPr>
                <w:sz w:val="19"/>
              </w:rPr>
              <w:t>无量纲</w:t>
            </w:r>
          </w:p>
        </w:tc>
      </w:tr>
      <w:tr>
        <w:trPr>
          <w:cantSplit/>
        </w:trPr>
        <w:tc>
          <w:tcPr>
            <w:tcW w:type="dxa" w:w="1814"/>
          </w:tcPr>
          <w:p>
            <w:pPr>
              <w:keepNext/>
              <w:spacing w:before="30" w:after="30" w:line="276" w:lineRule="auto"/>
              <w:jc w:val="left"/>
            </w:pPr>
            <w:r>
              <w:rPr>
                <w:sz w:val="19"/>
              </w:rPr>
              <w:t>r</w:t>
            </w:r>
          </w:p>
        </w:tc>
        <w:tc>
          <w:tcPr>
            <w:tcW w:type="dxa" w:w="4535"/>
          </w:tcPr>
          <w:p>
            <w:pPr>
              <w:keepNext/>
              <w:spacing w:before="30" w:after="30" w:line="276" w:lineRule="auto"/>
              <w:jc w:val="left"/>
            </w:pPr>
            <w:r>
              <w:rPr>
                <w:sz w:val="19"/>
              </w:rPr>
              <w:t>压缩参数</w:t>
            </w:r>
          </w:p>
        </w:tc>
        <w:tc>
          <w:tcPr>
            <w:tcW w:type="dxa" w:w="3061"/>
          </w:tcPr>
          <w:p>
            <w:pPr>
              <w:keepNext/>
              <w:spacing w:before="30" w:after="30" w:line="276" w:lineRule="auto"/>
              <w:jc w:val="left"/>
            </w:pPr>
            <w:r>
              <w:rPr>
                <w:sz w:val="19"/>
              </w:rPr>
              <w:t>无量纲</w:t>
            </w:r>
          </w:p>
        </w:tc>
      </w:tr>
      <w:tr>
        <w:trPr>
          <w:cantSplit/>
        </w:trPr>
        <w:tc>
          <w:tcPr>
            <w:tcW w:type="dxa" w:w="1814"/>
            <w:shd w:val="clear" w:color="auto" w:fill="F7F9FC"/>
          </w:tcPr>
          <w:p>
            <w:pPr>
              <w:keepNext/>
              <w:spacing w:before="30" w:after="30" w:line="276" w:lineRule="auto"/>
              <w:jc w:val="left"/>
            </w:pPr>
            <w:r>
              <w:rPr>
                <w:sz w:val="19"/>
              </w:rPr>
              <w:t>V</w:t>
            </w:r>
          </w:p>
        </w:tc>
        <w:tc>
          <w:tcPr>
            <w:tcW w:type="dxa" w:w="4535"/>
            <w:shd w:val="clear" w:color="auto" w:fill="F7F9FC"/>
          </w:tcPr>
          <w:p>
            <w:pPr>
              <w:keepNext/>
              <w:spacing w:before="30" w:after="30" w:line="276" w:lineRule="auto"/>
              <w:jc w:val="left"/>
            </w:pPr>
            <w:r>
              <w:rPr>
                <w:sz w:val="19"/>
              </w:rPr>
              <w:t>噪声方差（相对真空）</w:t>
            </w:r>
          </w:p>
        </w:tc>
        <w:tc>
          <w:tcPr>
            <w:tcW w:type="dxa" w:w="3061"/>
            <w:shd w:val="clear" w:color="auto" w:fill="F7F9FC"/>
          </w:tcPr>
          <w:p>
            <w:pPr>
              <w:keepNext/>
              <w:spacing w:before="30" w:after="30" w:line="276" w:lineRule="auto"/>
              <w:jc w:val="left"/>
            </w:pPr>
            <w:r>
              <w:rPr>
                <w:sz w:val="19"/>
              </w:rPr>
              <w:t>真空方差 = 1</w:t>
            </w:r>
          </w:p>
        </w:tc>
      </w:tr>
      <w:tr>
        <w:trPr>
          <w:cantSplit/>
        </w:trPr>
        <w:tc>
          <w:tcPr>
            <w:tcW w:type="dxa" w:w="1814"/>
          </w:tcPr>
          <w:p>
            <w:pPr>
              <w:keepNext/>
              <w:spacing w:before="30" w:after="30" w:line="276" w:lineRule="auto"/>
              <w:jc w:val="left"/>
            </w:pPr>
            <w:r>
              <w:rPr>
                <w:sz w:val="19"/>
              </w:rPr>
              <w:t>n</w:t>
            </w:r>
          </w:p>
        </w:tc>
        <w:tc>
          <w:tcPr>
            <w:tcW w:type="dxa" w:w="4535"/>
          </w:tcPr>
          <w:p>
            <w:pPr>
              <w:keepNext/>
              <w:spacing w:before="30" w:after="30" w:line="276" w:lineRule="auto"/>
              <w:jc w:val="left"/>
            </w:pPr>
            <w:r>
              <w:rPr>
                <w:sz w:val="19"/>
              </w:rPr>
              <w:t>附加噪声</w:t>
            </w:r>
          </w:p>
        </w:tc>
        <w:tc>
          <w:tcPr>
            <w:tcW w:type="dxa" w:w="3061"/>
          </w:tcPr>
          <w:p>
            <w:pPr>
              <w:keepNext/>
              <w:spacing w:before="30" w:after="30" w:line="276" w:lineRule="auto"/>
              <w:jc w:val="left"/>
            </w:pPr>
            <w:r>
              <w:rPr>
                <w:sz w:val="19"/>
              </w:rPr>
              <w:t>真空方差</w:t>
            </w:r>
          </w:p>
        </w:tc>
      </w:tr>
      <w:tr>
        <w:trPr>
          <w:cantSplit/>
        </w:trPr>
        <w:tc>
          <w:tcPr>
            <w:tcW w:type="dxa" w:w="1814"/>
            <w:shd w:val="clear" w:color="auto" w:fill="F7F9FC"/>
          </w:tcPr>
          <w:p>
            <w:pPr>
              <w:keepNext/>
              <w:spacing w:before="30" w:after="30" w:line="276" w:lineRule="auto"/>
              <w:jc w:val="left"/>
            </w:pPr>
            <w:r>
              <w:rPr>
                <w:sz w:val="19"/>
              </w:rPr>
              <w:t>f</w:t>
            </w:r>
          </w:p>
        </w:tc>
        <w:tc>
          <w:tcPr>
            <w:tcW w:type="dxa" w:w="4535"/>
            <w:shd w:val="clear" w:color="auto" w:fill="F7F9FC"/>
          </w:tcPr>
          <w:p>
            <w:pPr>
              <w:keepNext/>
              <w:spacing w:before="30" w:after="30" w:line="276" w:lineRule="auto"/>
              <w:jc w:val="left"/>
            </w:pPr>
            <w:r>
              <w:rPr>
                <w:sz w:val="19"/>
              </w:rPr>
              <w:t>辅助路由的损耗份额</w:t>
            </w:r>
          </w:p>
        </w:tc>
        <w:tc>
          <w:tcPr>
            <w:tcW w:type="dxa" w:w="3061"/>
            <w:shd w:val="clear" w:color="auto" w:fill="F7F9FC"/>
          </w:tcPr>
          <w:p>
            <w:pPr>
              <w:keepNext/>
              <w:spacing w:before="30" w:after="30" w:line="276" w:lineRule="auto"/>
              <w:jc w:val="left"/>
            </w:pPr>
            <w:r>
              <w:rPr>
                <w:sz w:val="19"/>
              </w:rPr>
              <w:t>无量纲（0 ≤ f ≤ 1）</w:t>
            </w:r>
          </w:p>
        </w:tc>
      </w:tr>
      <w:tr>
        <w:trPr>
          <w:cantSplit/>
        </w:trPr>
        <w:tc>
          <w:tcPr>
            <w:tcW w:type="dxa" w:w="1814"/>
          </w:tcPr>
          <w:p>
            <w:pPr>
              <w:keepNext/>
              <w:spacing w:before="30" w:after="30" w:line="276" w:lineRule="auto"/>
              <w:jc w:val="left"/>
            </w:pPr>
            <w:r>
              <w:rPr>
                <w:sz w:val="19"/>
              </w:rPr>
              <w:t>ε</w:t>
            </w:r>
          </w:p>
        </w:tc>
        <w:tc>
          <w:tcPr>
            <w:tcW w:type="dxa" w:w="4535"/>
          </w:tcPr>
          <w:p>
            <w:pPr>
              <w:keepNext/>
              <w:spacing w:before="30" w:after="30" w:line="276" w:lineRule="auto"/>
              <w:jc w:val="left"/>
            </w:pPr>
            <w:r>
              <w:rPr>
                <w:sz w:val="19"/>
              </w:rPr>
              <w:t>辅助回路的自身损耗</w:t>
            </w:r>
          </w:p>
        </w:tc>
        <w:tc>
          <w:tcPr>
            <w:tcW w:type="dxa" w:w="3061"/>
          </w:tcPr>
          <w:p>
            <w:pPr>
              <w:keepNext/>
              <w:spacing w:before="30" w:after="30" w:line="276" w:lineRule="auto"/>
              <w:jc w:val="left"/>
            </w:pPr>
            <w:r>
              <w:rPr>
                <w:sz w:val="19"/>
              </w:rPr>
              <w:t>无量纲</w:t>
            </w:r>
          </w:p>
        </w:tc>
      </w:tr>
      <w:tr>
        <w:trPr>
          <w:cantSplit/>
        </w:trPr>
        <w:tc>
          <w:tcPr>
            <w:tcW w:type="dxa" w:w="1814"/>
            <w:shd w:val="clear" w:color="auto" w:fill="F7F9FC"/>
          </w:tcPr>
          <w:p>
            <w:pPr>
              <w:keepNext/>
              <w:spacing w:before="30" w:after="30" w:line="276" w:lineRule="auto"/>
              <w:jc w:val="left"/>
            </w:pPr>
            <w:r>
              <w:rPr>
                <w:sz w:val="19"/>
              </w:rPr>
              <w:t>G</w:t>
            </w:r>
          </w:p>
        </w:tc>
        <w:tc>
          <w:tcPr>
            <w:tcW w:type="dxa" w:w="4535"/>
            <w:shd w:val="clear" w:color="auto" w:fill="F7F9FC"/>
          </w:tcPr>
          <w:p>
            <w:pPr>
              <w:keepNext/>
              <w:spacing w:before="30" w:after="30" w:line="276" w:lineRule="auto"/>
              <w:jc w:val="left"/>
            </w:pPr>
            <w:r>
              <w:rPr>
                <w:sz w:val="19"/>
              </w:rPr>
              <w:t>路由的净透过率增益</w:t>
            </w:r>
          </w:p>
        </w:tc>
        <w:tc>
          <w:tcPr>
            <w:tcW w:type="dxa" w:w="3061"/>
            <w:shd w:val="clear" w:color="auto" w:fill="F7F9FC"/>
          </w:tcPr>
          <w:p>
            <w:pPr>
              <w:keepNext/>
              <w:spacing w:before="30" w:after="30" w:line="276" w:lineRule="auto"/>
              <w:jc w:val="left"/>
            </w:pPr>
            <w:r>
              <w:rPr>
                <w:sz w:val="19"/>
              </w:rPr>
              <w:t>无量纲</w:t>
            </w:r>
          </w:p>
        </w:tc>
      </w:tr>
      <w:tr>
        <w:trPr>
          <w:cantSplit/>
        </w:trPr>
        <w:tc>
          <w:tcPr>
            <w:tcW w:type="dxa" w:w="1814"/>
          </w:tcPr>
          <w:p>
            <w:pPr>
              <w:keepNext/>
              <w:spacing w:before="30" w:after="30" w:line="276" w:lineRule="auto"/>
              <w:jc w:val="left"/>
            </w:pPr>
            <w:r>
              <w:rPr>
                <w:sz w:val="19"/>
              </w:rPr>
              <w:t>k</w:t>
            </w:r>
          </w:p>
        </w:tc>
        <w:tc>
          <w:tcPr>
            <w:tcW w:type="dxa" w:w="4535"/>
          </w:tcPr>
          <w:p>
            <w:pPr>
              <w:keepNext/>
              <w:spacing w:before="30" w:after="30" w:line="276" w:lineRule="auto"/>
              <w:jc w:val="left"/>
            </w:pPr>
            <w:r>
              <w:rPr>
                <w:sz w:val="19"/>
              </w:rPr>
              <w:t>相干时间增益</w:t>
            </w:r>
          </w:p>
        </w:tc>
        <w:tc>
          <w:tcPr>
            <w:tcW w:type="dxa" w:w="3061"/>
          </w:tcPr>
          <w:p>
            <w:pPr>
              <w:keepNext/>
              <w:spacing w:before="30" w:after="30" w:line="276" w:lineRule="auto"/>
              <w:jc w:val="left"/>
            </w:pPr>
            <w:r>
              <w:rPr>
                <w:sz w:val="19"/>
              </w:rPr>
              <w:t>无量纲</w:t>
            </w:r>
          </w:p>
        </w:tc>
      </w:tr>
      <w:tr>
        <w:trPr>
          <w:cantSplit/>
        </w:trPr>
        <w:tc>
          <w:tcPr>
            <w:tcW w:type="dxa" w:w="1814"/>
            <w:shd w:val="clear" w:color="auto" w:fill="F7F9FC"/>
          </w:tcPr>
          <w:p>
            <w:pPr>
              <w:spacing w:before="30" w:after="30" w:line="276" w:lineRule="auto"/>
              <w:jc w:val="left"/>
            </w:pPr>
            <w:r>
              <w:rPr>
                <w:sz w:val="19"/>
              </w:rPr>
              <w:t>T₁ / T₂ / T₂*</w:t>
            </w:r>
          </w:p>
        </w:tc>
        <w:tc>
          <w:tcPr>
            <w:tcW w:type="dxa" w:w="4535"/>
            <w:shd w:val="clear" w:color="auto" w:fill="F7F9FC"/>
          </w:tcPr>
          <w:p>
            <w:pPr>
              <w:spacing w:before="30" w:after="30" w:line="276" w:lineRule="auto"/>
              <w:jc w:val="left"/>
            </w:pPr>
            <w:r>
              <w:rPr>
                <w:sz w:val="19"/>
              </w:rPr>
              <w:t>能量弛豫 / 相干 / 自由感应衰减时间</w:t>
            </w:r>
          </w:p>
        </w:tc>
        <w:tc>
          <w:tcPr>
            <w:tcW w:type="dxa" w:w="3061"/>
            <w:shd w:val="clear" w:color="auto" w:fill="F7F9FC"/>
          </w:tcPr>
          <w:p>
            <w:pPr>
              <w:spacing w:before="30" w:after="30" w:line="276" w:lineRule="auto"/>
              <w:jc w:val="left"/>
            </w:pPr>
            <w:r>
              <w:rPr>
                <w:sz w:val="19"/>
              </w:rPr>
              <w:t>s</w:t>
            </w:r>
          </w:p>
        </w:tc>
      </w:tr>
    </w:tbl>
    <w:p>
      <w:pPr>
        <w:keepNext/>
        <w:pBdr>
          <w:bottom w:val="single" w:sz="6" w:space="3" w:color="BFCEDD"/>
        </w:pBdr>
        <w:spacing w:before="400" w:after="160"/>
      </w:pPr>
      <w:r>
        <w:rPr>
          <w:rFonts w:ascii="PingFang SC" w:hAnsi="PingFang SC" w:eastAsia="PingFang SC"/>
          <w:b/>
          <w:color w:val="1F4E79"/>
          <w:sz w:val="26"/>
        </w:rPr>
        <w:t xml:space="preserve">5  </w:t>
      </w:r>
      <w:r>
        <w:rPr>
          <w:rFonts w:ascii="PingFang SC" w:hAnsi="PingFang SC" w:eastAsia="PingFang SC"/>
          <w:b/>
          <w:color w:val="1F4E79"/>
          <w:sz w:val="26"/>
        </w:rPr>
        <w:t>总则</w:t>
      </w:r>
    </w:p>
    <w:p>
      <w:pPr>
        <w:spacing w:before="40" w:after="60" w:line="360" w:lineRule="auto"/>
        <w:ind w:left="510" w:hanging="510"/>
      </w:pPr>
      <w:r>
        <w:rPr>
          <w:rFonts w:ascii="PingFang SC" w:hAnsi="PingFang SC" w:eastAsia="PingFang SC"/>
          <w:color w:val="1F4E79"/>
          <w:sz w:val="21"/>
        </w:rPr>
        <w:t xml:space="preserve">5.1  </w:t>
      </w:r>
      <w:r>
        <w:rPr>
          <w:rFonts w:ascii="Songti SC" w:hAnsi="Songti SC" w:eastAsia="Songti SC"/>
          <w:sz w:val="21"/>
        </w:rPr>
        <w:t>核验应分三层进行：结构层（哪些操作在物理上合法）、度量层（当前数值是多少）、账本层（该方案是否值得采用）。三层的结论应分别给出，不应互相替代。</w:t>
      </w:r>
    </w:p>
    <w:p>
      <w:pPr>
        <w:spacing w:before="40" w:after="60" w:line="360" w:lineRule="auto"/>
        <w:ind w:left="510" w:hanging="510"/>
      </w:pPr>
      <w:r>
        <w:rPr>
          <w:rFonts w:ascii="PingFang SC" w:hAnsi="PingFang SC" w:eastAsia="PingFang SC"/>
          <w:color w:val="1F4E79"/>
          <w:sz w:val="21"/>
        </w:rPr>
        <w:t xml:space="preserve">5.2  </w:t>
      </w:r>
      <w:r>
        <w:rPr>
          <w:rFonts w:ascii="Songti SC" w:hAnsi="Songti SC" w:eastAsia="Songti SC"/>
          <w:sz w:val="21"/>
        </w:rPr>
        <w:t>方差一律以真空方差为单位。dB 值按 −10·lg V 计算，V = 1 对应 0 dB，V &lt; 1 为负值。</w:t>
      </w:r>
    </w:p>
    <w:p>
      <w:pPr>
        <w:spacing w:before="40" w:after="60" w:line="360" w:lineRule="auto"/>
        <w:ind w:left="510" w:hanging="510"/>
      </w:pPr>
      <w:r>
        <w:rPr>
          <w:rFonts w:ascii="PingFang SC" w:hAnsi="PingFang SC" w:eastAsia="PingFang SC"/>
          <w:color w:val="1F4E79"/>
          <w:sz w:val="21"/>
        </w:rPr>
        <w:t xml:space="preserve">5.3  </w:t>
      </w:r>
      <w:r>
        <w:rPr>
          <w:rFonts w:ascii="Songti SC" w:hAnsi="Songti SC" w:eastAsia="Songti SC"/>
          <w:sz w:val="21"/>
        </w:rPr>
        <w:t>任何结论应能由所披露的数据、在不依赖专有软件的条件下复算。复算脚本与数据应随证书提供。</w:t>
      </w:r>
    </w:p>
    <w:p>
      <w:pPr>
        <w:spacing w:before="40" w:after="60" w:line="360" w:lineRule="auto"/>
        <w:ind w:left="510" w:hanging="510"/>
      </w:pPr>
      <w:r>
        <w:rPr>
          <w:rFonts w:ascii="PingFang SC" w:hAnsi="PingFang SC" w:eastAsia="PingFang SC"/>
          <w:color w:val="1F4E79"/>
          <w:sz w:val="21"/>
        </w:rPr>
        <w:t xml:space="preserve">5.4  </w:t>
      </w:r>
      <w:r>
        <w:rPr>
          <w:rFonts w:ascii="Songti SC" w:hAnsi="Songti SC" w:eastAsia="Songti SC"/>
          <w:sz w:val="21"/>
        </w:rPr>
        <w:t>不应由度量层数值直接推出结构层结论（例如由某几何结构的存在推出该方案无额外代价），亦不应由账本层判据反推器件性能。</w:t>
      </w:r>
    </w:p>
    <w:p>
      <w:pPr>
        <w:keepNext/>
        <w:pBdr>
          <w:bottom w:val="single" w:sz="6" w:space="3" w:color="BFCEDD"/>
        </w:pBdr>
        <w:spacing w:before="400" w:after="160"/>
      </w:pPr>
      <w:r>
        <w:rPr>
          <w:rFonts w:ascii="PingFang SC" w:hAnsi="PingFang SC" w:eastAsia="PingFang SC"/>
          <w:b/>
          <w:color w:val="1F4E79"/>
          <w:sz w:val="26"/>
        </w:rPr>
        <w:t xml:space="preserve">6  </w:t>
      </w:r>
      <w:r>
        <w:rPr>
          <w:rFonts w:ascii="PingFang SC" w:hAnsi="PingFang SC" w:eastAsia="PingFang SC"/>
          <w:b/>
          <w:color w:val="1F4E79"/>
          <w:sz w:val="26"/>
        </w:rPr>
        <w:t>核验流程</w:t>
      </w:r>
    </w:p>
    <w:p>
      <w:pPr>
        <w:spacing w:before="0" w:after="120" w:line="372" w:lineRule="auto"/>
        <w:ind w:firstLine="420"/>
      </w:pPr>
      <w:r>
        <w:rPr>
          <w:rFonts w:ascii="Times New Roman" w:hAnsi="Times New Roman" w:eastAsia="Songti SC"/>
          <w:b w:val="0"/>
          <w:i w:val="0"/>
          <w:color w:val="1A1A1A"/>
          <w:sz w:val="21"/>
        </w:rPr>
        <w:t>核验应按下列五步执行，并逐步记录。</w:t>
      </w:r>
    </w:p>
    <w:p>
      <w:pPr>
        <w:spacing w:before="40" w:after="60" w:line="360" w:lineRule="auto"/>
        <w:ind w:left="510" w:hanging="510"/>
      </w:pPr>
      <w:r>
        <w:rPr>
          <w:rFonts w:ascii="PingFang SC" w:hAnsi="PingFang SC" w:eastAsia="PingFang SC"/>
          <w:color w:val="1F4E79"/>
          <w:sz w:val="21"/>
        </w:rPr>
        <w:t xml:space="preserve">6.1  </w:t>
      </w:r>
      <w:r>
        <w:rPr>
          <w:rFonts w:ascii="Songti SC" w:hAnsi="Songti SC" w:eastAsia="Songti SC"/>
          <w:b/>
          <w:sz w:val="21"/>
        </w:rPr>
        <w:t>采集。</w:t>
      </w:r>
      <w:r>
        <w:rPr>
          <w:rFonts w:ascii="Songti SC" w:hAnsi="Songti SC" w:eastAsia="Songti SC"/>
          <w:sz w:val="21"/>
        </w:rPr>
        <w:t>按第 7 章取得 V_sq（或 r）、L 及其分项、n，并记录测量方法与不确定度。</w:t>
      </w:r>
    </w:p>
    <w:p>
      <w:pPr>
        <w:spacing w:before="40" w:after="60" w:line="360" w:lineRule="auto"/>
        <w:ind w:left="510" w:hanging="510"/>
      </w:pPr>
      <w:r>
        <w:rPr>
          <w:rFonts w:ascii="PingFang SC" w:hAnsi="PingFang SC" w:eastAsia="PingFang SC"/>
          <w:color w:val="1F4E79"/>
          <w:sz w:val="21"/>
        </w:rPr>
        <w:t xml:space="preserve">6.2  </w:t>
      </w:r>
      <w:r>
        <w:rPr>
          <w:rFonts w:ascii="Songti SC" w:hAnsi="Songti SC" w:eastAsia="Songti SC"/>
          <w:b/>
          <w:sz w:val="21"/>
        </w:rPr>
        <w:t>折算。</w:t>
      </w:r>
      <w:r>
        <w:rPr>
          <w:rFonts w:ascii="Songti SC" w:hAnsi="Songti SC" w:eastAsia="Songti SC"/>
          <w:sz w:val="21"/>
        </w:rPr>
        <w:t>按 8.1 计算探测器处的方差 V_out，按 8.2 换算为有效压缩。</w:t>
      </w:r>
    </w:p>
    <w:p>
      <w:pPr>
        <w:spacing w:before="40" w:after="60" w:line="360" w:lineRule="auto"/>
        <w:ind w:left="510" w:hanging="510"/>
      </w:pPr>
      <w:r>
        <w:rPr>
          <w:rFonts w:ascii="PingFang SC" w:hAnsi="PingFang SC" w:eastAsia="PingFang SC"/>
          <w:color w:val="1F4E79"/>
          <w:sz w:val="21"/>
        </w:rPr>
        <w:t xml:space="preserve">6.3  </w:t>
      </w:r>
      <w:r>
        <w:rPr>
          <w:rFonts w:ascii="Songti SC" w:hAnsi="Songti SC" w:eastAsia="Songti SC"/>
          <w:b/>
          <w:sz w:val="21"/>
        </w:rPr>
        <w:t>对照基线。</w:t>
      </w:r>
      <w:r>
        <w:rPr>
          <w:rFonts w:ascii="Songti SC" w:hAnsi="Songti SC" w:eastAsia="Songti SC"/>
          <w:sz w:val="21"/>
        </w:rPr>
        <w:t>给出相对基线的改善量，并注明基线的定义。</w:t>
      </w:r>
    </w:p>
    <w:p>
      <w:pPr>
        <w:spacing w:before="40" w:after="60" w:line="360" w:lineRule="auto"/>
        <w:ind w:left="510" w:hanging="510"/>
      </w:pPr>
      <w:r>
        <w:rPr>
          <w:rFonts w:ascii="PingFang SC" w:hAnsi="PingFang SC" w:eastAsia="PingFang SC"/>
          <w:color w:val="1F4E79"/>
          <w:sz w:val="21"/>
        </w:rPr>
        <w:t xml:space="preserve">6.4  </w:t>
      </w:r>
      <w:r>
        <w:rPr>
          <w:rFonts w:ascii="Songti SC" w:hAnsi="Songti SC" w:eastAsia="Songti SC"/>
          <w:b/>
          <w:sz w:val="21"/>
        </w:rPr>
        <w:t>判据。</w:t>
      </w:r>
      <w:r>
        <w:rPr>
          <w:rFonts w:ascii="Songti SC" w:hAnsi="Songti SC" w:eastAsia="Songti SC"/>
          <w:sz w:val="21"/>
        </w:rPr>
        <w:t>若方案包含辅助路由、增益或相干保护，按 8.4～8.6 计算其盈亏平衡条件与净收益。</w:t>
      </w:r>
    </w:p>
    <w:p>
      <w:pPr>
        <w:spacing w:before="40" w:after="60" w:line="360" w:lineRule="auto"/>
        <w:ind w:left="510" w:hanging="510"/>
      </w:pPr>
      <w:r>
        <w:rPr>
          <w:rFonts w:ascii="PingFang SC" w:hAnsi="PingFang SC" w:eastAsia="PingFang SC"/>
          <w:color w:val="1F4E79"/>
          <w:sz w:val="21"/>
        </w:rPr>
        <w:t xml:space="preserve">6.5  </w:t>
      </w:r>
      <w:r>
        <w:rPr>
          <w:rFonts w:ascii="Songti SC" w:hAnsi="Songti SC" w:eastAsia="Songti SC"/>
          <w:b/>
          <w:sz w:val="21"/>
        </w:rPr>
        <w:t>出证。</w:t>
      </w:r>
      <w:r>
        <w:rPr>
          <w:rFonts w:ascii="Songti SC" w:hAnsi="Songti SC" w:eastAsia="Songti SC"/>
          <w:sz w:val="21"/>
        </w:rPr>
        <w:t>按第 10 章出具证书，注明符合性等级。</w:t>
      </w:r>
    </w:p>
    <w:p>
      <w:pPr>
        <w:keepNext/>
        <w:pBdr>
          <w:bottom w:val="single" w:sz="6" w:space="3" w:color="BFCEDD"/>
        </w:pBdr>
        <w:spacing w:before="400" w:after="160"/>
      </w:pPr>
      <w:r>
        <w:rPr>
          <w:rFonts w:ascii="PingFang SC" w:hAnsi="PingFang SC" w:eastAsia="PingFang SC"/>
          <w:b/>
          <w:color w:val="1F4E79"/>
          <w:sz w:val="26"/>
        </w:rPr>
        <w:t xml:space="preserve">7  </w:t>
      </w:r>
      <w:r>
        <w:rPr>
          <w:rFonts w:ascii="PingFang SC" w:hAnsi="PingFang SC" w:eastAsia="PingFang SC"/>
          <w:b/>
          <w:color w:val="1F4E79"/>
          <w:sz w:val="26"/>
        </w:rPr>
        <w:t>最小披露集</w:t>
      </w:r>
    </w:p>
    <w:p>
      <w:pPr>
        <w:spacing w:before="40" w:after="60" w:line="360" w:lineRule="auto"/>
        <w:ind w:left="510" w:hanging="510"/>
      </w:pPr>
      <w:r>
        <w:rPr>
          <w:rFonts w:ascii="PingFang SC" w:hAnsi="PingFang SC" w:eastAsia="PingFang SC"/>
          <w:color w:val="1F4E79"/>
          <w:sz w:val="21"/>
        </w:rPr>
        <w:t xml:space="preserve">7.1  </w:t>
      </w:r>
      <w:r>
        <w:rPr>
          <w:rFonts w:ascii="Songti SC" w:hAnsi="Songti SC" w:eastAsia="Songti SC"/>
          <w:sz w:val="21"/>
        </w:rPr>
        <w:t>证书应至少披露表 2 所列各项。</w:t>
      </w:r>
    </w:p>
    <w:p>
      <w:pPr>
        <w:keepNext/>
        <w:spacing w:before="120" w:after="60"/>
      </w:pPr>
      <w:r>
        <w:rPr>
          <w:rFonts w:ascii="PingFang SC" w:hAnsi="PingFang SC" w:eastAsia="PingFang SC"/>
          <w:b/>
          <w:color w:val="1A1A1A"/>
          <w:sz w:val="19"/>
        </w:rPr>
        <w:t>表 2  最小披露项</w:t>
      </w:r>
    </w:p>
    <w:tbl>
      <w:tblPr>
        <w:tblW w:w="9412" w:type="dxa"/>
        <w:jc w:val="center"/>
        <w:tblBorders>
          <w:top w:val="single" w:sz="4" w:space="0" w:color="C9D4E0"/>
          <w:left w:val="single" w:sz="4" w:space="0" w:color="C9D4E0"/>
          <w:bottom w:val="single" w:sz="4" w:space="0" w:color="C9D4E0"/>
          <w:right w:val="single" w:sz="4" w:space="0" w:color="C9D4E0"/>
          <w:insideH w:val="single" w:sz="4" w:space="0" w:color="C9D4E0"/>
          <w:insideV w:val="single" w:sz="4" w:space="0" w:color="C9D4E0"/>
        </w:tblBorders>
        <w:tblLayout w:type="fixed"/>
        <w:tblCellMar>
          <w:top w:w="50" w:type="dxa"/>
          <w:left w:w="90" w:type="dxa"/>
          <w:bottom w:w="50" w:type="dxa"/>
          <w:right w:w="90" w:type="dxa"/>
        </w:tblCellMar>
        <w:tblLook w:firstColumn="1" w:firstRow="1" w:lastColumn="0" w:lastRow="0" w:noHBand="0" w:noVBand="1" w:val="04A0"/>
      </w:tblPr>
      <w:tblGrid>
        <w:gridCol w:w="793"/>
        <w:gridCol w:w="3515"/>
        <w:gridCol w:w="1701"/>
        <w:gridCol w:w="3402"/>
      </w:tblGrid>
      <w:tr>
        <w:trPr>
          <w:cantSplit/>
          <w:tblHeader/>
        </w:trPr>
        <w:tc>
          <w:tcPr>
            <w:tcW w:type="dxa" w:w="794"/>
            <w:shd w:val="clear" w:color="auto" w:fill="DCE6F1"/>
          </w:tcPr>
          <w:p>
            <w:pPr>
              <w:spacing w:before="30" w:after="30" w:line="276" w:lineRule="auto"/>
              <w:jc w:val="left"/>
            </w:pPr>
            <w:r>
              <w:rPr>
                <w:b/>
                <w:color w:val="1F4E79"/>
                <w:sz w:val="18"/>
              </w:rPr>
              <w:t>序</w:t>
            </w:r>
          </w:p>
        </w:tc>
        <w:tc>
          <w:tcPr>
            <w:tcW w:type="dxa" w:w="3515"/>
            <w:shd w:val="clear" w:color="auto" w:fill="DCE6F1"/>
          </w:tcPr>
          <w:p>
            <w:pPr>
              <w:spacing w:before="30" w:after="30" w:line="276" w:lineRule="auto"/>
              <w:jc w:val="left"/>
            </w:pPr>
            <w:r>
              <w:rPr>
                <w:b/>
                <w:color w:val="1F4E79"/>
                <w:sz w:val="18"/>
              </w:rPr>
              <w:t>项</w:t>
            </w:r>
          </w:p>
        </w:tc>
        <w:tc>
          <w:tcPr>
            <w:tcW w:type="dxa" w:w="1701"/>
            <w:shd w:val="clear" w:color="auto" w:fill="DCE6F1"/>
          </w:tcPr>
          <w:p>
            <w:pPr>
              <w:spacing w:before="30" w:after="30" w:line="276" w:lineRule="auto"/>
              <w:jc w:val="left"/>
            </w:pPr>
            <w:r>
              <w:rPr>
                <w:b/>
                <w:color w:val="1F4E79"/>
                <w:sz w:val="18"/>
              </w:rPr>
              <w:t>符号</w:t>
            </w:r>
          </w:p>
        </w:tc>
        <w:tc>
          <w:tcPr>
            <w:tcW w:type="dxa" w:w="3402"/>
            <w:shd w:val="clear" w:color="auto" w:fill="DCE6F1"/>
          </w:tcPr>
          <w:p>
            <w:pPr>
              <w:spacing w:before="30" w:after="30" w:line="276" w:lineRule="auto"/>
              <w:jc w:val="left"/>
            </w:pPr>
            <w:r>
              <w:rPr>
                <w:b/>
                <w:color w:val="1F4E79"/>
                <w:sz w:val="18"/>
              </w:rPr>
              <w:t>获取方式</w:t>
            </w:r>
          </w:p>
        </w:tc>
      </w:tr>
      <w:tr>
        <w:trPr>
          <w:cantSplit/>
        </w:trPr>
        <w:tc>
          <w:tcPr>
            <w:tcW w:type="dxa" w:w="794"/>
          </w:tcPr>
          <w:p>
            <w:pPr>
              <w:spacing w:before="30" w:after="30" w:line="276" w:lineRule="auto"/>
              <w:jc w:val="left"/>
            </w:pPr>
            <w:r>
              <w:rPr>
                <w:sz w:val="18"/>
              </w:rPr>
              <w:t>1</w:t>
            </w:r>
          </w:p>
        </w:tc>
        <w:tc>
          <w:tcPr>
            <w:tcW w:type="dxa" w:w="3515"/>
          </w:tcPr>
          <w:p>
            <w:pPr>
              <w:spacing w:before="30" w:after="30" w:line="276" w:lineRule="auto"/>
              <w:jc w:val="left"/>
            </w:pPr>
            <w:r>
              <w:rPr>
                <w:sz w:val="18"/>
              </w:rPr>
              <w:t>输入压缩度</w:t>
            </w:r>
          </w:p>
        </w:tc>
        <w:tc>
          <w:tcPr>
            <w:tcW w:type="dxa" w:w="1701"/>
          </w:tcPr>
          <w:p>
            <w:pPr>
              <w:spacing w:before="30" w:after="30" w:line="276" w:lineRule="auto"/>
              <w:jc w:val="left"/>
            </w:pPr>
            <w:r>
              <w:rPr>
                <w:sz w:val="18"/>
              </w:rPr>
              <w:t>r 或 V_sq</w:t>
            </w:r>
          </w:p>
        </w:tc>
        <w:tc>
          <w:tcPr>
            <w:tcW w:type="dxa" w:w="3402"/>
          </w:tcPr>
          <w:p>
            <w:pPr>
              <w:spacing w:before="30" w:after="30" w:line="276" w:lineRule="auto"/>
              <w:jc w:val="left"/>
            </w:pPr>
            <w:r>
              <w:rPr>
                <w:sz w:val="18"/>
              </w:rPr>
              <w:t>光源输出处的直接测量</w:t>
            </w:r>
          </w:p>
        </w:tc>
      </w:tr>
      <w:tr>
        <w:trPr>
          <w:cantSplit/>
        </w:trPr>
        <w:tc>
          <w:tcPr>
            <w:tcW w:type="dxa" w:w="794"/>
            <w:shd w:val="clear" w:color="auto" w:fill="F7F9FC"/>
          </w:tcPr>
          <w:p>
            <w:pPr>
              <w:spacing w:before="30" w:after="30" w:line="276" w:lineRule="auto"/>
              <w:jc w:val="left"/>
            </w:pPr>
            <w:r>
              <w:rPr>
                <w:sz w:val="18"/>
              </w:rPr>
              <w:t>2</w:t>
            </w:r>
          </w:p>
        </w:tc>
        <w:tc>
          <w:tcPr>
            <w:tcW w:type="dxa" w:w="3515"/>
            <w:shd w:val="clear" w:color="auto" w:fill="F7F9FC"/>
          </w:tcPr>
          <w:p>
            <w:pPr>
              <w:spacing w:before="30" w:after="30" w:line="276" w:lineRule="auto"/>
              <w:jc w:val="left"/>
            </w:pPr>
            <w:r>
              <w:rPr>
                <w:sz w:val="18"/>
              </w:rPr>
              <w:t>链路总损耗（合计）</w:t>
            </w:r>
          </w:p>
        </w:tc>
        <w:tc>
          <w:tcPr>
            <w:tcW w:type="dxa" w:w="1701"/>
            <w:shd w:val="clear" w:color="auto" w:fill="F7F9FC"/>
          </w:tcPr>
          <w:p>
            <w:pPr>
              <w:spacing w:before="30" w:after="30" w:line="276" w:lineRule="auto"/>
              <w:jc w:val="left"/>
            </w:pPr>
            <w:r>
              <w:rPr>
                <w:sz w:val="18"/>
              </w:rPr>
              <w:t>L</w:t>
            </w:r>
          </w:p>
        </w:tc>
        <w:tc>
          <w:tcPr>
            <w:tcW w:type="dxa" w:w="3402"/>
            <w:shd w:val="clear" w:color="auto" w:fill="F7F9FC"/>
          </w:tcPr>
          <w:p>
            <w:pPr>
              <w:spacing w:before="30" w:after="30" w:line="276" w:lineRule="auto"/>
              <w:jc w:val="left"/>
            </w:pPr>
            <w:r>
              <w:rPr>
                <w:sz w:val="18"/>
              </w:rPr>
              <w:t>分项测量后求和</w:t>
            </w:r>
          </w:p>
        </w:tc>
      </w:tr>
      <w:tr>
        <w:trPr>
          <w:cantSplit/>
        </w:trPr>
        <w:tc>
          <w:tcPr>
            <w:tcW w:type="dxa" w:w="794"/>
          </w:tcPr>
          <w:p>
            <w:pPr>
              <w:spacing w:before="30" w:after="30" w:line="276" w:lineRule="auto"/>
              <w:jc w:val="left"/>
            </w:pPr>
            <w:r>
              <w:rPr>
                <w:sz w:val="18"/>
              </w:rPr>
              <w:t>3</w:t>
            </w:r>
          </w:p>
        </w:tc>
        <w:tc>
          <w:tcPr>
            <w:tcW w:type="dxa" w:w="3515"/>
          </w:tcPr>
          <w:p>
            <w:pPr>
              <w:spacing w:before="30" w:after="30" w:line="276" w:lineRule="auto"/>
              <w:jc w:val="left"/>
            </w:pPr>
            <w:r>
              <w:rPr>
                <w:sz w:val="18"/>
              </w:rPr>
              <w:t>其中：传输损耗</w:t>
            </w:r>
          </w:p>
        </w:tc>
        <w:tc>
          <w:tcPr>
            <w:tcW w:type="dxa" w:w="1701"/>
          </w:tcPr>
          <w:p>
            <w:pPr>
              <w:spacing w:before="30" w:after="30" w:line="276" w:lineRule="auto"/>
              <w:jc w:val="left"/>
            </w:pPr>
            <w:r>
              <w:rPr>
                <w:sz w:val="18"/>
              </w:rPr>
              <w:t>L_tr</w:t>
            </w:r>
          </w:p>
        </w:tc>
        <w:tc>
          <w:tcPr>
            <w:tcW w:type="dxa" w:w="3402"/>
          </w:tcPr>
          <w:p>
            <w:pPr>
              <w:spacing w:before="30" w:after="30" w:line="276" w:lineRule="auto"/>
              <w:jc w:val="left"/>
            </w:pPr>
            <w:r>
              <w:rPr>
                <w:sz w:val="18"/>
              </w:rPr>
              <w:t>插入损耗法</w:t>
            </w:r>
          </w:p>
        </w:tc>
      </w:tr>
      <w:tr>
        <w:trPr>
          <w:cantSplit/>
        </w:trPr>
        <w:tc>
          <w:tcPr>
            <w:tcW w:type="dxa" w:w="794"/>
            <w:shd w:val="clear" w:color="auto" w:fill="F7F9FC"/>
          </w:tcPr>
          <w:p>
            <w:pPr>
              <w:spacing w:before="30" w:after="30" w:line="276" w:lineRule="auto"/>
              <w:jc w:val="left"/>
            </w:pPr>
            <w:r>
              <w:rPr>
                <w:sz w:val="18"/>
              </w:rPr>
              <w:t>4</w:t>
            </w:r>
          </w:p>
        </w:tc>
        <w:tc>
          <w:tcPr>
            <w:tcW w:type="dxa" w:w="3515"/>
            <w:shd w:val="clear" w:color="auto" w:fill="F7F9FC"/>
          </w:tcPr>
          <w:p>
            <w:pPr>
              <w:spacing w:before="30" w:after="30" w:line="276" w:lineRule="auto"/>
              <w:jc w:val="left"/>
            </w:pPr>
            <w:r>
              <w:rPr>
                <w:sz w:val="18"/>
              </w:rPr>
              <w:t>其中：光学元件损耗</w:t>
            </w:r>
          </w:p>
        </w:tc>
        <w:tc>
          <w:tcPr>
            <w:tcW w:type="dxa" w:w="1701"/>
            <w:shd w:val="clear" w:color="auto" w:fill="F7F9FC"/>
          </w:tcPr>
          <w:p>
            <w:pPr>
              <w:spacing w:before="30" w:after="30" w:line="276" w:lineRule="auto"/>
              <w:jc w:val="left"/>
            </w:pPr>
            <w:r>
              <w:rPr>
                <w:sz w:val="18"/>
              </w:rPr>
              <w:t>L_op</w:t>
            </w:r>
          </w:p>
        </w:tc>
        <w:tc>
          <w:tcPr>
            <w:tcW w:type="dxa" w:w="3402"/>
            <w:shd w:val="clear" w:color="auto" w:fill="F7F9FC"/>
          </w:tcPr>
          <w:p>
            <w:pPr>
              <w:spacing w:before="30" w:after="30" w:line="276" w:lineRule="auto"/>
              <w:jc w:val="left"/>
            </w:pPr>
            <w:r>
              <w:rPr>
                <w:sz w:val="18"/>
              </w:rPr>
              <w:t>插入损耗法</w:t>
            </w:r>
          </w:p>
        </w:tc>
      </w:tr>
      <w:tr>
        <w:trPr>
          <w:cantSplit/>
        </w:trPr>
        <w:tc>
          <w:tcPr>
            <w:tcW w:type="dxa" w:w="794"/>
          </w:tcPr>
          <w:p>
            <w:pPr>
              <w:spacing w:before="30" w:after="30" w:line="276" w:lineRule="auto"/>
              <w:jc w:val="left"/>
            </w:pPr>
            <w:r>
              <w:rPr>
                <w:sz w:val="18"/>
              </w:rPr>
              <w:t>5</w:t>
            </w:r>
          </w:p>
        </w:tc>
        <w:tc>
          <w:tcPr>
            <w:tcW w:type="dxa" w:w="3515"/>
          </w:tcPr>
          <w:p>
            <w:pPr>
              <w:spacing w:before="30" w:after="30" w:line="276" w:lineRule="auto"/>
              <w:jc w:val="left"/>
            </w:pPr>
            <w:r>
              <w:rPr>
                <w:sz w:val="18"/>
              </w:rPr>
              <w:t>其中：模式匹配损耗</w:t>
            </w:r>
          </w:p>
        </w:tc>
        <w:tc>
          <w:tcPr>
            <w:tcW w:type="dxa" w:w="1701"/>
          </w:tcPr>
          <w:p>
            <w:pPr>
              <w:spacing w:before="30" w:after="30" w:line="276" w:lineRule="auto"/>
              <w:jc w:val="left"/>
            </w:pPr>
            <w:r>
              <w:rPr>
                <w:sz w:val="18"/>
              </w:rPr>
              <w:t>L_mm</w:t>
            </w:r>
          </w:p>
        </w:tc>
        <w:tc>
          <w:tcPr>
            <w:tcW w:type="dxa" w:w="3402"/>
          </w:tcPr>
          <w:p>
            <w:pPr>
              <w:spacing w:before="30" w:after="30" w:line="276" w:lineRule="auto"/>
              <w:jc w:val="left"/>
            </w:pPr>
            <w:r>
              <w:rPr>
                <w:sz w:val="18"/>
              </w:rPr>
              <w:t>可见度或重叠积分</w:t>
            </w:r>
          </w:p>
        </w:tc>
      </w:tr>
      <w:tr>
        <w:trPr>
          <w:cantSplit/>
        </w:trPr>
        <w:tc>
          <w:tcPr>
            <w:tcW w:type="dxa" w:w="794"/>
            <w:shd w:val="clear" w:color="auto" w:fill="F7F9FC"/>
          </w:tcPr>
          <w:p>
            <w:pPr>
              <w:spacing w:before="30" w:after="30" w:line="276" w:lineRule="auto"/>
              <w:jc w:val="left"/>
            </w:pPr>
            <w:r>
              <w:rPr>
                <w:sz w:val="18"/>
              </w:rPr>
              <w:t>6</w:t>
            </w:r>
          </w:p>
        </w:tc>
        <w:tc>
          <w:tcPr>
            <w:tcW w:type="dxa" w:w="3515"/>
            <w:shd w:val="clear" w:color="auto" w:fill="F7F9FC"/>
          </w:tcPr>
          <w:p>
            <w:pPr>
              <w:spacing w:before="30" w:after="30" w:line="276" w:lineRule="auto"/>
              <w:jc w:val="left"/>
            </w:pPr>
            <w:r>
              <w:rPr>
                <w:sz w:val="18"/>
              </w:rPr>
              <w:t>其中：探测效率损失</w:t>
            </w:r>
          </w:p>
        </w:tc>
        <w:tc>
          <w:tcPr>
            <w:tcW w:type="dxa" w:w="1701"/>
            <w:shd w:val="clear" w:color="auto" w:fill="F7F9FC"/>
          </w:tcPr>
          <w:p>
            <w:pPr>
              <w:spacing w:before="30" w:after="30" w:line="276" w:lineRule="auto"/>
              <w:jc w:val="left"/>
            </w:pPr>
            <w:r>
              <w:rPr>
                <w:sz w:val="18"/>
              </w:rPr>
              <w:t>1 − η_det</w:t>
            </w:r>
          </w:p>
        </w:tc>
        <w:tc>
          <w:tcPr>
            <w:tcW w:type="dxa" w:w="3402"/>
            <w:shd w:val="clear" w:color="auto" w:fill="F7F9FC"/>
          </w:tcPr>
          <w:p>
            <w:pPr>
              <w:spacing w:before="30" w:after="30" w:line="276" w:lineRule="auto"/>
              <w:jc w:val="left"/>
            </w:pPr>
            <w:r>
              <w:rPr>
                <w:sz w:val="18"/>
              </w:rPr>
              <w:t>探测器标定</w:t>
            </w:r>
          </w:p>
        </w:tc>
      </w:tr>
      <w:tr>
        <w:trPr>
          <w:cantSplit/>
        </w:trPr>
        <w:tc>
          <w:tcPr>
            <w:tcW w:type="dxa" w:w="794"/>
          </w:tcPr>
          <w:p>
            <w:pPr>
              <w:spacing w:before="30" w:after="30" w:line="276" w:lineRule="auto"/>
              <w:jc w:val="left"/>
            </w:pPr>
            <w:r>
              <w:rPr>
                <w:sz w:val="18"/>
              </w:rPr>
              <w:t>7</w:t>
            </w:r>
          </w:p>
        </w:tc>
        <w:tc>
          <w:tcPr>
            <w:tcW w:type="dxa" w:w="3515"/>
          </w:tcPr>
          <w:p>
            <w:pPr>
              <w:spacing w:before="30" w:after="30" w:line="276" w:lineRule="auto"/>
              <w:jc w:val="left"/>
            </w:pPr>
            <w:r>
              <w:rPr>
                <w:sz w:val="18"/>
              </w:rPr>
              <w:t>附加噪声</w:t>
            </w:r>
          </w:p>
        </w:tc>
        <w:tc>
          <w:tcPr>
            <w:tcW w:type="dxa" w:w="1701"/>
          </w:tcPr>
          <w:p>
            <w:pPr>
              <w:spacing w:before="30" w:after="30" w:line="276" w:lineRule="auto"/>
              <w:jc w:val="left"/>
            </w:pPr>
            <w:r>
              <w:rPr>
                <w:sz w:val="18"/>
              </w:rPr>
              <w:t>n</w:t>
            </w:r>
          </w:p>
        </w:tc>
        <w:tc>
          <w:tcPr>
            <w:tcW w:type="dxa" w:w="3402"/>
          </w:tcPr>
          <w:p>
            <w:pPr>
              <w:spacing w:before="30" w:after="30" w:line="276" w:lineRule="auto"/>
              <w:jc w:val="left"/>
            </w:pPr>
            <w:r>
              <w:rPr>
                <w:sz w:val="18"/>
              </w:rPr>
              <w:t>阻断信号后的噪声底</w:t>
            </w:r>
          </w:p>
        </w:tc>
      </w:tr>
      <w:tr>
        <w:trPr>
          <w:cantSplit/>
        </w:trPr>
        <w:tc>
          <w:tcPr>
            <w:tcW w:type="dxa" w:w="794"/>
            <w:shd w:val="clear" w:color="auto" w:fill="F7F9FC"/>
          </w:tcPr>
          <w:p>
            <w:pPr>
              <w:spacing w:before="30" w:after="30" w:line="276" w:lineRule="auto"/>
              <w:jc w:val="left"/>
            </w:pPr>
            <w:r>
              <w:rPr>
                <w:sz w:val="18"/>
              </w:rPr>
              <w:t>8</w:t>
            </w:r>
          </w:p>
        </w:tc>
        <w:tc>
          <w:tcPr>
            <w:tcW w:type="dxa" w:w="3515"/>
            <w:shd w:val="clear" w:color="auto" w:fill="F7F9FC"/>
          </w:tcPr>
          <w:p>
            <w:pPr>
              <w:spacing w:before="30" w:after="30" w:line="276" w:lineRule="auto"/>
              <w:jc w:val="left"/>
            </w:pPr>
            <w:r>
              <w:rPr>
                <w:sz w:val="18"/>
              </w:rPr>
              <w:t>探测器处方差</w:t>
            </w:r>
          </w:p>
        </w:tc>
        <w:tc>
          <w:tcPr>
            <w:tcW w:type="dxa" w:w="1701"/>
            <w:shd w:val="clear" w:color="auto" w:fill="F7F9FC"/>
          </w:tcPr>
          <w:p>
            <w:pPr>
              <w:spacing w:before="30" w:after="30" w:line="276" w:lineRule="auto"/>
              <w:jc w:val="left"/>
            </w:pPr>
            <w:r>
              <w:rPr>
                <w:sz w:val="18"/>
              </w:rPr>
              <w:t>V_out</w:t>
            </w:r>
          </w:p>
        </w:tc>
        <w:tc>
          <w:tcPr>
            <w:tcW w:type="dxa" w:w="3402"/>
            <w:shd w:val="clear" w:color="auto" w:fill="F7F9FC"/>
          </w:tcPr>
          <w:p>
            <w:pPr>
              <w:spacing w:before="30" w:after="30" w:line="276" w:lineRule="auto"/>
              <w:jc w:val="left"/>
            </w:pPr>
            <w:r>
              <w:rPr>
                <w:sz w:val="18"/>
              </w:rPr>
              <w:t>零拍或自差测量</w:t>
            </w:r>
          </w:p>
        </w:tc>
      </w:tr>
      <w:tr>
        <w:trPr>
          <w:cantSplit/>
        </w:trPr>
        <w:tc>
          <w:tcPr>
            <w:tcW w:type="dxa" w:w="794"/>
          </w:tcPr>
          <w:p>
            <w:pPr>
              <w:spacing w:before="30" w:after="30" w:line="276" w:lineRule="auto"/>
              <w:jc w:val="left"/>
            </w:pPr>
            <w:r>
              <w:rPr>
                <w:sz w:val="18"/>
              </w:rPr>
              <w:t>9</w:t>
            </w:r>
          </w:p>
        </w:tc>
        <w:tc>
          <w:tcPr>
            <w:tcW w:type="dxa" w:w="3515"/>
          </w:tcPr>
          <w:p>
            <w:pPr>
              <w:spacing w:before="30" w:after="30" w:line="276" w:lineRule="auto"/>
              <w:jc w:val="left"/>
            </w:pPr>
            <w:r>
              <w:rPr>
                <w:sz w:val="18"/>
              </w:rPr>
              <w:t>有效压缩</w:t>
            </w:r>
          </w:p>
        </w:tc>
        <w:tc>
          <w:tcPr>
            <w:tcW w:type="dxa" w:w="1701"/>
          </w:tcPr>
          <w:p>
            <w:pPr>
              <w:spacing w:before="30" w:after="30" w:line="276" w:lineRule="auto"/>
              <w:jc w:val="left"/>
            </w:pPr>
            <w:r>
              <w:rPr>
                <w:sz w:val="18"/>
              </w:rPr>
              <w:t>—</w:t>
            </w:r>
          </w:p>
        </w:tc>
        <w:tc>
          <w:tcPr>
            <w:tcW w:type="dxa" w:w="3402"/>
          </w:tcPr>
          <w:p>
            <w:pPr>
              <w:spacing w:before="30" w:after="30" w:line="276" w:lineRule="auto"/>
              <w:jc w:val="left"/>
            </w:pPr>
            <w:r>
              <w:rPr>
                <w:sz w:val="18"/>
              </w:rPr>
              <w:t>由 V_out 换算</w:t>
            </w:r>
          </w:p>
        </w:tc>
      </w:tr>
      <w:tr>
        <w:trPr>
          <w:cantSplit/>
        </w:trPr>
        <w:tc>
          <w:tcPr>
            <w:tcW w:type="dxa" w:w="794"/>
            <w:shd w:val="clear" w:color="auto" w:fill="F7F9FC"/>
          </w:tcPr>
          <w:p>
            <w:pPr>
              <w:spacing w:before="30" w:after="30" w:line="276" w:lineRule="auto"/>
              <w:jc w:val="left"/>
            </w:pPr>
            <w:r>
              <w:rPr>
                <w:sz w:val="18"/>
              </w:rPr>
              <w:t>10</w:t>
            </w:r>
          </w:p>
        </w:tc>
        <w:tc>
          <w:tcPr>
            <w:tcW w:type="dxa" w:w="3515"/>
            <w:shd w:val="clear" w:color="auto" w:fill="F7F9FC"/>
          </w:tcPr>
          <w:p>
            <w:pPr>
              <w:spacing w:before="30" w:after="30" w:line="276" w:lineRule="auto"/>
              <w:jc w:val="left"/>
            </w:pPr>
            <w:r>
              <w:rPr>
                <w:sz w:val="18"/>
              </w:rPr>
              <w:t>测量方法与不确定度</w:t>
            </w:r>
          </w:p>
        </w:tc>
        <w:tc>
          <w:tcPr>
            <w:tcW w:type="dxa" w:w="1701"/>
            <w:shd w:val="clear" w:color="auto" w:fill="F7F9FC"/>
          </w:tcPr>
          <w:p>
            <w:pPr>
              <w:spacing w:before="30" w:after="30" w:line="276" w:lineRule="auto"/>
              <w:jc w:val="left"/>
            </w:pPr>
            <w:r>
              <w:rPr>
                <w:sz w:val="18"/>
              </w:rPr>
              <w:t>—</w:t>
            </w:r>
          </w:p>
        </w:tc>
        <w:tc>
          <w:tcPr>
            <w:tcW w:type="dxa" w:w="3402"/>
            <w:shd w:val="clear" w:color="auto" w:fill="F7F9FC"/>
          </w:tcPr>
          <w:p>
            <w:pPr>
              <w:spacing w:before="30" w:after="30" w:line="276" w:lineRule="auto"/>
              <w:jc w:val="left"/>
            </w:pPr>
            <w:r>
              <w:rPr>
                <w:sz w:val="18"/>
              </w:rPr>
              <w:t>应注明</w:t>
            </w:r>
          </w:p>
        </w:tc>
      </w:tr>
    </w:tbl>
    <w:p>
      <w:pPr>
        <w:spacing w:before="40" w:after="60" w:line="360" w:lineRule="auto"/>
        <w:ind w:left="510" w:hanging="510"/>
      </w:pPr>
      <w:r>
        <w:rPr>
          <w:rFonts w:ascii="PingFang SC" w:hAnsi="PingFang SC" w:eastAsia="PingFang SC"/>
          <w:color w:val="1F4E79"/>
          <w:sz w:val="21"/>
        </w:rPr>
        <w:t xml:space="preserve">7.2  </w:t>
      </w:r>
      <w:r>
        <w:rPr>
          <w:rFonts w:ascii="Songti SC" w:hAnsi="Songti SC" w:eastAsia="Songti SC"/>
          <w:sz w:val="21"/>
        </w:rPr>
        <w:t>摘要应给出输入压缩度与链路总损耗（或总透过率）。受篇幅所限无法给出的，应在摘要中注明损耗预算所在的章节、表号或图号。</w:t>
      </w:r>
    </w:p>
    <w:p>
      <w:pPr>
        <w:spacing w:before="40" w:after="60" w:line="360" w:lineRule="auto"/>
        <w:ind w:left="510" w:hanging="510"/>
      </w:pPr>
      <w:r>
        <w:rPr>
          <w:rFonts w:ascii="PingFang SC" w:hAnsi="PingFang SC" w:eastAsia="PingFang SC"/>
          <w:color w:val="1F4E79"/>
          <w:sz w:val="21"/>
        </w:rPr>
        <w:t xml:space="preserve">7.3  </w:t>
      </w:r>
      <w:r>
        <w:rPr>
          <w:rFonts w:ascii="Songti SC" w:hAnsi="Songti SC" w:eastAsia="Songti SC"/>
          <w:sz w:val="21"/>
        </w:rPr>
        <w:t>仅给出有效压缩而不给出 7.2 所列两项的，或仅以「详见正文」替代定位信息而无具体位置的，不构成可核验的披露。</w:t>
      </w:r>
    </w:p>
    <w:p>
      <w:pPr>
        <w:spacing w:before="40" w:after="60" w:line="360" w:lineRule="auto"/>
        <w:ind w:left="510" w:hanging="510"/>
      </w:pPr>
      <w:r>
        <w:rPr>
          <w:rFonts w:ascii="PingFang SC" w:hAnsi="PingFang SC" w:eastAsia="PingFang SC"/>
          <w:color w:val="1F4E79"/>
          <w:sz w:val="21"/>
        </w:rPr>
        <w:t xml:space="preserve">7.4  </w:t>
      </w:r>
      <w:r>
        <w:rPr>
          <w:rFonts w:ascii="Songti SC" w:hAnsi="Songti SC" w:eastAsia="Songti SC"/>
          <w:sz w:val="21"/>
        </w:rPr>
        <w:t>不应将保真度、存活概率或模式重叠度直接当作方差使用。若以保真度 f 描述传输，其与方差的关系应为 V_out = 1 − f(1 − V_sq) + n。</w:t>
      </w:r>
    </w:p>
    <w:p>
      <w:pPr>
        <w:spacing w:before="40" w:after="60" w:line="360" w:lineRule="auto"/>
        <w:ind w:left="510" w:hanging="510"/>
      </w:pPr>
      <w:r>
        <w:rPr>
          <w:rFonts w:ascii="PingFang SC" w:hAnsi="PingFang SC" w:eastAsia="PingFang SC"/>
          <w:color w:val="1F4E79"/>
          <w:sz w:val="21"/>
        </w:rPr>
        <w:t xml:space="preserve">7.5  </w:t>
      </w:r>
      <w:r>
        <w:rPr>
          <w:rFonts w:ascii="Songti SC" w:hAnsi="Songti SC" w:eastAsia="Songti SC"/>
          <w:sz w:val="21"/>
        </w:rPr>
        <w:t>若方案使用辅助路由，应另报 f、ε 及其测量方法；若使用增益，应另报增益，并按 8.1.3 报出放大器的位置。</w:t>
      </w:r>
    </w:p>
    <w:p>
      <w:pPr>
        <w:spacing w:before="40" w:after="60" w:line="360" w:lineRule="auto"/>
        <w:ind w:left="510" w:hanging="510"/>
      </w:pPr>
      <w:r>
        <w:rPr>
          <w:rFonts w:ascii="PingFang SC" w:hAnsi="PingFang SC" w:eastAsia="PingFang SC"/>
          <w:color w:val="1F4E79"/>
          <w:sz w:val="21"/>
        </w:rPr>
        <w:t xml:space="preserve">7.6  </w:t>
      </w:r>
      <w:r>
        <w:rPr>
          <w:rFonts w:ascii="Songti SC" w:hAnsi="Songti SC" w:eastAsia="Songti SC"/>
          <w:sz w:val="21"/>
        </w:rPr>
        <w:t>不确定度应至少覆盖：损耗分项的测量误差、附加噪声的标定误差、以及口径参数（如原子半径、容差、门限）的敏感性区间。结论应在该区间内保持不变，否则应注明结论依赖于口径取值。</w:t>
      </w:r>
    </w:p>
    <w:p>
      <w:pPr>
        <w:keepNext/>
        <w:pBdr>
          <w:bottom w:val="single" w:sz="6" w:space="3" w:color="BFCEDD"/>
        </w:pBdr>
        <w:spacing w:before="400" w:after="160"/>
      </w:pPr>
      <w:r>
        <w:rPr>
          <w:rFonts w:ascii="PingFang SC" w:hAnsi="PingFang SC" w:eastAsia="PingFang SC"/>
          <w:b/>
          <w:color w:val="1F4E79"/>
          <w:sz w:val="26"/>
        </w:rPr>
        <w:t xml:space="preserve">8  </w:t>
      </w:r>
      <w:r>
        <w:rPr>
          <w:rFonts w:ascii="PingFang SC" w:hAnsi="PingFang SC" w:eastAsia="PingFang SC"/>
          <w:b/>
          <w:color w:val="1F4E79"/>
          <w:sz w:val="26"/>
        </w:rPr>
        <w:t>计算方法</w:t>
      </w:r>
    </w:p>
    <w:p>
      <w:pPr>
        <w:keepNext/>
        <w:spacing w:before="220" w:after="80"/>
      </w:pPr>
      <w:r>
        <w:rPr>
          <w:rFonts w:ascii="PingFang SC" w:hAnsi="PingFang SC" w:eastAsia="PingFang SC"/>
          <w:b/>
          <w:color w:val="1A1A1A"/>
          <w:sz w:val="22"/>
        </w:rPr>
        <w:t>8.1 压缩链路的传递</w:t>
      </w:r>
    </w:p>
    <w:p>
      <w:pPr>
        <w:spacing w:before="80" w:after="160" w:line="312" w:lineRule="auto"/>
        <w:jc w:val="center"/>
      </w:pPr>
      <w:r>
        <w:rPr>
          <w:rFonts w:ascii="Cambria Math" w:hAnsi="Cambria Math" w:eastAsia="Songti SC"/>
          <w:color w:val="1A1A1A"/>
          <w:sz w:val="22"/>
        </w:rPr>
        <w:t>V_out = η·e^(−2r) + (1 − η) + n ,    η = 1 − L</w:t>
      </w:r>
    </w:p>
    <w:p>
      <w:pPr>
        <w:spacing w:before="40" w:after="60" w:line="360" w:lineRule="auto"/>
        <w:ind w:left="510" w:hanging="510"/>
      </w:pPr>
      <w:r>
        <w:rPr>
          <w:rFonts w:ascii="PingFang SC" w:hAnsi="PingFang SC" w:eastAsia="PingFang SC"/>
          <w:color w:val="1F4E79"/>
          <w:sz w:val="21"/>
        </w:rPr>
        <w:t xml:space="preserve">8.1.1  </w:t>
      </w:r>
      <w:r>
        <w:rPr>
          <w:rFonts w:ascii="Songti SC" w:hAnsi="Songti SC" w:eastAsia="Songti SC"/>
          <w:sz w:val="21"/>
        </w:rPr>
        <w:t>式中的 (1 − η) 项为损耗引入的真空涨落，n 为设备附加噪声，二者不应相互替代。</w:t>
      </w:r>
    </w:p>
    <w:p>
      <w:pPr>
        <w:spacing w:before="40" w:after="60" w:line="360" w:lineRule="auto"/>
        <w:ind w:left="510" w:hanging="510"/>
      </w:pPr>
      <w:r>
        <w:rPr>
          <w:rFonts w:ascii="PingFang SC" w:hAnsi="PingFang SC" w:eastAsia="PingFang SC"/>
          <w:color w:val="1F4E79"/>
          <w:sz w:val="21"/>
        </w:rPr>
        <w:t xml:space="preserve">8.1.2  </w:t>
      </w:r>
      <w:r>
        <w:rPr>
          <w:rFonts w:ascii="Songti SC" w:hAnsi="Songti SC" w:eastAsia="Songti SC"/>
          <w:sz w:val="21"/>
        </w:rPr>
        <w:t>有效压缩按 Ae = −10·lg V_out 计算；相对基线的改善按 Δ = −10·lg V_out 计算，基线取 V = 1 时应注明「相对散粒噪声极限」。</w:t>
      </w:r>
    </w:p>
    <w:p>
      <w:pPr>
        <w:spacing w:before="40" w:after="60" w:line="360" w:lineRule="auto"/>
        <w:ind w:left="510" w:hanging="510"/>
      </w:pPr>
      <w:r>
        <w:rPr>
          <w:rFonts w:ascii="PingFang SC" w:hAnsi="PingFang SC" w:eastAsia="PingFang SC"/>
          <w:color w:val="1F4E79"/>
          <w:sz w:val="21"/>
        </w:rPr>
        <w:t xml:space="preserve">8.1.3  </w:t>
      </w:r>
      <w:r>
        <w:rPr>
          <w:rFonts w:ascii="Songti SC" w:hAnsi="Songti SC" w:eastAsia="Songti SC"/>
          <w:sz w:val="21"/>
        </w:rPr>
        <w:t>式（1）适用于「压缩态生成之后、探测之前不含放大」的链路。若链路含前置放大（如相位敏感放大、参量放大），应另行给出放大增益 G、放大器相对于各损耗项的位置，以及放大前后各自的损耗；此时不应将总损耗直接代入式（1）。</w:t>
      </w:r>
    </w:p>
    <w:p>
      <w:pPr>
        <w:spacing w:before="40" w:after="60" w:line="360" w:lineRule="auto"/>
        <w:ind w:left="510" w:hanging="510"/>
      </w:pPr>
      <w:r>
        <w:rPr>
          <w:rFonts w:ascii="PingFang SC" w:hAnsi="PingFang SC" w:eastAsia="PingFang SC"/>
          <w:color w:val="1F4E79"/>
          <w:sz w:val="21"/>
        </w:rPr>
        <w:t xml:space="preserve">8.1.4  </w:t>
      </w:r>
      <w:r>
        <w:rPr>
          <w:rFonts w:ascii="Songti SC" w:hAnsi="Songti SC" w:eastAsia="Songti SC"/>
          <w:sz w:val="21"/>
        </w:rPr>
        <w:t>前置放大把被测量子的噪声抬高到远高于真空后，其后损耗对相对噪声的影响可被抑制；因此该类链路的有效压缩不由式（1）给出，而应由放大后的信噪比另行核验。缺少增益与位置信息时，该类结果应判为不可核验。</w:t>
      </w:r>
    </w:p>
    <w:p>
      <w:pPr>
        <w:keepNext/>
        <w:spacing w:before="220" w:after="80"/>
      </w:pPr>
      <w:r>
        <w:rPr>
          <w:rFonts w:ascii="PingFang SC" w:hAnsi="PingFang SC" w:eastAsia="PingFang SC"/>
          <w:b/>
          <w:color w:val="1A1A1A"/>
          <w:sz w:val="22"/>
        </w:rPr>
        <w:t>8.2 损耗地板</w:t>
      </w:r>
    </w:p>
    <w:p>
      <w:pPr>
        <w:spacing w:before="80" w:after="160" w:line="312" w:lineRule="auto"/>
        <w:jc w:val="center"/>
      </w:pPr>
      <w:r>
        <w:rPr>
          <w:rFonts w:ascii="Cambria Math" w:hAnsi="Cambria Math" w:eastAsia="Songti SC"/>
          <w:color w:val="1A1A1A"/>
          <w:sz w:val="22"/>
        </w:rPr>
        <w:t>V_out ≥ 1 − η = L  ⟹  Ae,max = −10·lg L</w:t>
      </w:r>
    </w:p>
    <w:p>
      <w:pPr>
        <w:spacing w:before="40" w:after="60" w:line="360" w:lineRule="auto"/>
        <w:ind w:left="510" w:hanging="510"/>
      </w:pPr>
      <w:r>
        <w:rPr>
          <w:rFonts w:ascii="PingFang SC" w:hAnsi="PingFang SC" w:eastAsia="PingFang SC"/>
          <w:color w:val="1F4E79"/>
          <w:sz w:val="21"/>
        </w:rPr>
        <w:t xml:space="preserve">8.2.1  </w:t>
      </w:r>
      <w:r>
        <w:rPr>
          <w:rFonts w:ascii="Songti SC" w:hAnsi="Songti SC" w:eastAsia="Songti SC"/>
          <w:sz w:val="21"/>
        </w:rPr>
        <w:t>上式给出给定链路的最大可达有效压缩。当输入压缩度趋于无穷时，有效压缩趋于该上限。证书应给出该上限，以标明还有多少可改善空间来自光源、多少受限于链路。</w:t>
      </w:r>
    </w:p>
    <w:p>
      <w:pPr>
        <w:keepNext/>
        <w:spacing w:before="220" w:after="80"/>
      </w:pPr>
      <w:r>
        <w:rPr>
          <w:rFonts w:ascii="PingFang SC" w:hAnsi="PingFang SC" w:eastAsia="PingFang SC"/>
          <w:b/>
          <w:color w:val="1A1A1A"/>
          <w:sz w:val="22"/>
        </w:rPr>
        <w:t>8.3 辅助路由的盈亏平衡</w:t>
      </w:r>
    </w:p>
    <w:p>
      <w:pPr>
        <w:spacing w:before="80" w:after="160" w:line="312" w:lineRule="auto"/>
        <w:jc w:val="center"/>
      </w:pPr>
      <w:r>
        <w:rPr>
          <w:rFonts w:ascii="Cambria Math" w:hAnsi="Cambria Math" w:eastAsia="Songti SC"/>
          <w:color w:val="1A1A1A"/>
          <w:sz w:val="22"/>
        </w:rPr>
        <w:t>η_EP = [1 − L(1 − f)]·(1 − ε)</w:t>
      </w:r>
    </w:p>
    <w:p>
      <w:pPr>
        <w:spacing w:before="80" w:after="160" w:line="312" w:lineRule="auto"/>
        <w:jc w:val="center"/>
      </w:pPr>
      <w:r>
        <w:rPr>
          <w:rFonts w:ascii="Cambria Math" w:hAnsi="Cambria Math" w:eastAsia="Songti SC"/>
          <w:color w:val="1A1A1A"/>
          <w:sz w:val="21"/>
        </w:rPr>
        <w:t>G = η_EP − (1 − L) ；有收益的条件为 G &gt; 0 且 n &lt; G·(1 − e^(−2r))</w:t>
      </w:r>
    </w:p>
    <w:p>
      <w:pPr>
        <w:spacing w:before="80" w:after="160" w:line="312" w:lineRule="auto"/>
        <w:jc w:val="center"/>
      </w:pPr>
      <w:r>
        <w:rPr>
          <w:rFonts w:ascii="Cambria Math" w:hAnsi="Cambria Math" w:eastAsia="Songti SC"/>
          <w:color w:val="1A1A1A"/>
          <w:sz w:val="22"/>
        </w:rPr>
        <w:t>ε* = L·f / [1 − L(1 − f)]</w:t>
      </w:r>
    </w:p>
    <w:p>
      <w:pPr>
        <w:spacing w:before="40" w:after="60" w:line="360" w:lineRule="auto"/>
        <w:ind w:left="510" w:hanging="510"/>
      </w:pPr>
      <w:r>
        <w:rPr>
          <w:rFonts w:ascii="PingFang SC" w:hAnsi="PingFang SC" w:eastAsia="PingFang SC"/>
          <w:color w:val="1F4E79"/>
          <w:sz w:val="21"/>
        </w:rPr>
        <w:t xml:space="preserve">8.3.1  </w:t>
      </w:r>
      <w:r>
        <w:rPr>
          <w:rFonts w:ascii="Songti SC" w:hAnsi="Songti SC" w:eastAsia="Songti SC"/>
          <w:sz w:val="21"/>
        </w:rPr>
        <w:t>ε* 与压缩度无关，仅由 L 与 f 决定。证书应同时给出 ε* 与 G，二者不可互相替代。</w:t>
      </w:r>
    </w:p>
    <w:p>
      <w:pPr>
        <w:spacing w:before="40" w:after="60" w:line="360" w:lineRule="auto"/>
        <w:ind w:left="510" w:hanging="510"/>
      </w:pPr>
      <w:r>
        <w:rPr>
          <w:rFonts w:ascii="PingFang SC" w:hAnsi="PingFang SC" w:eastAsia="PingFang SC"/>
          <w:color w:val="1F4E79"/>
          <w:sz w:val="21"/>
        </w:rPr>
        <w:t xml:space="preserve">8.3.2  </w:t>
      </w:r>
      <w:r>
        <w:rPr>
          <w:rFonts w:ascii="Songti SC" w:hAnsi="Songti SC" w:eastAsia="Songti SC"/>
          <w:sz w:val="21"/>
        </w:rPr>
        <w:t>净收益的上限为 Δ_max = −10·lg(1 − f)，与 L 无关。证书应给出该上限，以标明即使回路无损耗、无附加噪声，收益也不可能超过此值。</w:t>
      </w:r>
    </w:p>
    <w:p>
      <w:pPr>
        <w:keepNext/>
        <w:spacing w:before="220" w:after="80"/>
      </w:pPr>
      <w:r>
        <w:rPr>
          <w:rFonts w:ascii="PingFang SC" w:hAnsi="PingFang SC" w:eastAsia="PingFang SC"/>
          <w:b/>
          <w:color w:val="1A1A1A"/>
          <w:sz w:val="22"/>
        </w:rPr>
        <w:t>8.4 相干保护的时间折算</w:t>
      </w:r>
    </w:p>
    <w:p>
      <w:pPr>
        <w:spacing w:before="80" w:after="160" w:line="312" w:lineRule="auto"/>
        <w:jc w:val="center"/>
      </w:pPr>
      <w:r>
        <w:rPr>
          <w:rFonts w:ascii="Cambria Math" w:hAnsi="Cambria Math" w:eastAsia="Songti SC"/>
          <w:color w:val="1A1A1A"/>
          <w:sz w:val="22"/>
        </w:rPr>
        <w:t>k = T₂ / T₂* ；平均时间节省 = k²</w:t>
      </w:r>
    </w:p>
    <w:p>
      <w:pPr>
        <w:spacing w:before="40" w:after="60" w:line="360" w:lineRule="auto"/>
        <w:ind w:left="510" w:hanging="510"/>
      </w:pPr>
      <w:r>
        <w:rPr>
          <w:rFonts w:ascii="PingFang SC" w:hAnsi="PingFang SC" w:eastAsia="PingFang SC"/>
          <w:color w:val="1F4E79"/>
          <w:sz w:val="21"/>
        </w:rPr>
        <w:t xml:space="preserve">8.4.1  </w:t>
      </w:r>
      <w:r>
        <w:rPr>
          <w:rFonts w:ascii="Songti SC" w:hAnsi="Songti SC" w:eastAsia="Songti SC"/>
          <w:sz w:val="21"/>
        </w:rPr>
        <w:t>以相干时间为手段的改善，应以平均测量时间的节省量折算后与其他手段比较。</w:t>
      </w:r>
    </w:p>
    <w:p>
      <w:pPr>
        <w:spacing w:before="40" w:after="60" w:line="360" w:lineRule="auto"/>
        <w:ind w:left="510" w:hanging="510"/>
      </w:pPr>
      <w:r>
        <w:rPr>
          <w:rFonts w:ascii="PingFang SC" w:hAnsi="PingFang SC" w:eastAsia="PingFang SC"/>
          <w:color w:val="1F4E79"/>
          <w:sz w:val="21"/>
        </w:rPr>
        <w:t xml:space="preserve">8.4.2  </w:t>
      </w:r>
      <w:r>
        <w:rPr>
          <w:rFonts w:ascii="Songti SC" w:hAnsi="Songti SC" w:eastAsia="Songti SC"/>
          <w:sz w:val="21"/>
        </w:rPr>
        <w:t>证书应给出各手段的硬底：自由进动与回波受 T₂ ≤ 2T₁ 约束；自旋锁定以其转动坐标系弛豫时间T₁ρ 为界；编码以错误率低于阈值为前提。三者的界不应混用。</w:t>
      </w:r>
    </w:p>
    <w:p>
      <w:pPr>
        <w:keepNext/>
        <w:spacing w:before="220" w:after="80"/>
      </w:pPr>
      <w:r>
        <w:rPr>
          <w:rFonts w:ascii="PingFang SC" w:hAnsi="PingFang SC" w:eastAsia="PingFang SC"/>
          <w:b/>
          <w:color w:val="1A1A1A"/>
          <w:sz w:val="22"/>
        </w:rPr>
        <w:t>8.5 增益的噪声代价</w:t>
      </w:r>
    </w:p>
    <w:p>
      <w:pPr>
        <w:spacing w:before="80" w:after="160" w:line="312" w:lineRule="auto"/>
        <w:jc w:val="center"/>
      </w:pPr>
      <w:r>
        <w:rPr>
          <w:rFonts w:ascii="Cambria Math" w:hAnsi="Cambria Math" w:eastAsia="Songti SC"/>
          <w:color w:val="1A1A1A"/>
          <w:sz w:val="21"/>
        </w:rPr>
        <w:t>相位不敏感放大器的输入附加噪声 ≥ 1/2 光子  ⟹  噪声系数 ≥ 3 dB</w:t>
      </w:r>
    </w:p>
    <w:p>
      <w:pPr>
        <w:spacing w:before="40" w:after="60" w:line="360" w:lineRule="auto"/>
        <w:ind w:left="510" w:hanging="510"/>
      </w:pPr>
      <w:r>
        <w:rPr>
          <w:rFonts w:ascii="PingFang SC" w:hAnsi="PingFang SC" w:eastAsia="PingFang SC"/>
          <w:color w:val="1F4E79"/>
          <w:sz w:val="21"/>
        </w:rPr>
        <w:t xml:space="preserve">8.5.1  </w:t>
      </w:r>
      <w:r>
        <w:rPr>
          <w:rFonts w:ascii="Songti SC" w:hAnsi="Songti SC" w:eastAsia="Songti SC"/>
          <w:sz w:val="21"/>
        </w:rPr>
        <w:t>以增益补偿损耗的方案，应在账本层先扣除不低于 3 dB 的噪声代价，再计入其净收益。</w:t>
      </w:r>
    </w:p>
    <w:p>
      <w:pPr>
        <w:keepNext/>
        <w:pBdr>
          <w:bottom w:val="single" w:sz="6" w:space="3" w:color="BFCEDD"/>
        </w:pBdr>
        <w:spacing w:before="400" w:after="160"/>
      </w:pPr>
      <w:r>
        <w:rPr>
          <w:rFonts w:ascii="PingFang SC" w:hAnsi="PingFang SC" w:eastAsia="PingFang SC"/>
          <w:b/>
          <w:color w:val="1F4E79"/>
          <w:sz w:val="26"/>
        </w:rPr>
        <w:t xml:space="preserve">9  </w:t>
      </w:r>
      <w:r>
        <w:rPr>
          <w:rFonts w:ascii="PingFang SC" w:hAnsi="PingFang SC" w:eastAsia="PingFang SC"/>
          <w:b/>
          <w:color w:val="1F4E79"/>
          <w:sz w:val="26"/>
        </w:rPr>
        <w:t>符合性等级</w:t>
      </w:r>
    </w:p>
    <w:p>
      <w:pPr>
        <w:spacing w:before="40" w:after="60" w:line="360" w:lineRule="auto"/>
        <w:ind w:left="510" w:hanging="510"/>
      </w:pPr>
      <w:r>
        <w:rPr>
          <w:rFonts w:ascii="PingFang SC" w:hAnsi="PingFang SC" w:eastAsia="PingFang SC"/>
          <w:color w:val="1F4E79"/>
          <w:sz w:val="21"/>
        </w:rPr>
        <w:t xml:space="preserve">9.1  </w:t>
      </w:r>
      <w:r>
        <w:rPr>
          <w:rFonts w:ascii="Songti SC" w:hAnsi="Songti SC" w:eastAsia="Songti SC"/>
          <w:sz w:val="21"/>
        </w:rPr>
        <w:t>一级（披露级）：完整给出第 7 章的最小披露集，并按 8.1～8.2 给出有效压缩与损耗地板。</w:t>
      </w:r>
    </w:p>
    <w:p>
      <w:pPr>
        <w:spacing w:before="40" w:after="60" w:line="360" w:lineRule="auto"/>
        <w:ind w:left="510" w:hanging="510"/>
      </w:pPr>
      <w:r>
        <w:rPr>
          <w:rFonts w:ascii="PingFang SC" w:hAnsi="PingFang SC" w:eastAsia="PingFang SC"/>
          <w:color w:val="1F4E79"/>
          <w:sz w:val="21"/>
        </w:rPr>
        <w:t xml:space="preserve">9.2  </w:t>
      </w:r>
      <w:r>
        <w:rPr>
          <w:rFonts w:ascii="Songti SC" w:hAnsi="Songti SC" w:eastAsia="Songti SC"/>
          <w:sz w:val="21"/>
        </w:rPr>
        <w:t>二级（复算级）：在 9.1 基础上，提供数据文件与复算脚本，第三方可在无专有软件条件下逐点复现，复现偏差不应大于 10⁻⁶（相对值）。</w:t>
      </w:r>
    </w:p>
    <w:p>
      <w:pPr>
        <w:spacing w:before="40" w:after="60" w:line="360" w:lineRule="auto"/>
        <w:ind w:left="510" w:hanging="510"/>
      </w:pPr>
      <w:r>
        <w:rPr>
          <w:rFonts w:ascii="PingFang SC" w:hAnsi="PingFang SC" w:eastAsia="PingFang SC"/>
          <w:color w:val="1F4E79"/>
          <w:sz w:val="21"/>
        </w:rPr>
        <w:t xml:space="preserve">9.3  </w:t>
      </w:r>
      <w:r>
        <w:rPr>
          <w:rFonts w:ascii="Songti SC" w:hAnsi="Songti SC" w:eastAsia="Songti SC"/>
          <w:sz w:val="21"/>
        </w:rPr>
        <w:t>三级（复核级）：在 9.2 基础上，由独立机构按本文件复核并签署。三级证书应注明复核机构、复核日期与复核人。</w:t>
      </w:r>
    </w:p>
    <w:p>
      <w:pPr>
        <w:spacing w:before="40" w:after="60" w:line="360" w:lineRule="auto"/>
        <w:ind w:left="510" w:hanging="510"/>
      </w:pPr>
      <w:r>
        <w:rPr>
          <w:rFonts w:ascii="PingFang SC" w:hAnsi="PingFang SC" w:eastAsia="PingFang SC"/>
          <w:color w:val="1F4E79"/>
          <w:sz w:val="21"/>
        </w:rPr>
        <w:t xml:space="preserve">9.4  </w:t>
      </w:r>
      <w:r>
        <w:rPr>
          <w:rFonts w:ascii="Songti SC" w:hAnsi="Songti SC" w:eastAsia="Songti SC"/>
          <w:sz w:val="21"/>
        </w:rPr>
        <w:t>证书应标明其符合性等级。未标明等级的，不应引用本文件。</w:t>
      </w:r>
    </w:p>
    <w:p>
      <w:pPr>
        <w:keepNext/>
        <w:pBdr>
          <w:bottom w:val="single" w:sz="6" w:space="3" w:color="BFCEDD"/>
        </w:pBdr>
        <w:spacing w:before="400" w:after="160"/>
      </w:pPr>
      <w:r>
        <w:rPr>
          <w:rFonts w:ascii="PingFang SC" w:hAnsi="PingFang SC" w:eastAsia="PingFang SC"/>
          <w:b/>
          <w:color w:val="1F4E79"/>
          <w:sz w:val="26"/>
        </w:rPr>
        <w:t xml:space="preserve">10  </w:t>
      </w:r>
      <w:r>
        <w:rPr>
          <w:rFonts w:ascii="PingFang SC" w:hAnsi="PingFang SC" w:eastAsia="PingFang SC"/>
          <w:b/>
          <w:color w:val="1F4E79"/>
          <w:sz w:val="26"/>
        </w:rPr>
        <w:t>证书格式</w:t>
      </w:r>
    </w:p>
    <w:p>
      <w:pPr>
        <w:spacing w:before="40" w:after="60" w:line="360" w:lineRule="auto"/>
        <w:ind w:left="510" w:hanging="510"/>
      </w:pPr>
      <w:r>
        <w:rPr>
          <w:rFonts w:ascii="PingFang SC" w:hAnsi="PingFang SC" w:eastAsia="PingFang SC"/>
          <w:color w:val="1F4E79"/>
          <w:sz w:val="21"/>
        </w:rPr>
        <w:t xml:space="preserve">10.1  </w:t>
      </w:r>
      <w:r>
        <w:rPr>
          <w:rFonts w:ascii="Songti SC" w:hAnsi="Songti SC" w:eastAsia="Songti SC"/>
          <w:sz w:val="21"/>
        </w:rPr>
        <w:t>证书应包含下列部分，顺序为：对象与口径、数据、计算、结论、边界、复现包、签署。</w:t>
      </w:r>
    </w:p>
    <w:p>
      <w:pPr>
        <w:spacing w:before="40" w:after="60" w:line="360" w:lineRule="auto"/>
        <w:ind w:left="510" w:hanging="510"/>
      </w:pPr>
      <w:r>
        <w:rPr>
          <w:rFonts w:ascii="PingFang SC" w:hAnsi="PingFang SC" w:eastAsia="PingFang SC"/>
          <w:color w:val="1F4E79"/>
          <w:sz w:val="21"/>
        </w:rPr>
        <w:t xml:space="preserve">10.2  </w:t>
      </w:r>
      <w:r>
        <w:rPr>
          <w:rFonts w:ascii="Songti SC" w:hAnsi="Songti SC" w:eastAsia="Songti SC"/>
          <w:sz w:val="21"/>
        </w:rPr>
        <w:t>结论应为一个可判定的陈述，包含测量条件与数值。例如：「在 L = 0.30、输入压缩 6.0 dB、n = 0 时，探测器处有效压缩为 3.2 dB，相对散粒噪声极限改善 3.2 dB」。</w:t>
      </w:r>
    </w:p>
    <w:p>
      <w:pPr>
        <w:spacing w:before="40" w:after="60" w:line="360" w:lineRule="auto"/>
        <w:ind w:left="510" w:hanging="510"/>
      </w:pPr>
      <w:r>
        <w:rPr>
          <w:rFonts w:ascii="PingFang SC" w:hAnsi="PingFang SC" w:eastAsia="PingFang SC"/>
          <w:color w:val="1F4E79"/>
          <w:sz w:val="21"/>
        </w:rPr>
        <w:t xml:space="preserve">10.3  </w:t>
      </w:r>
      <w:r>
        <w:rPr>
          <w:rFonts w:ascii="Songti SC" w:hAnsi="Songti SC" w:eastAsia="Songti SC"/>
          <w:sz w:val="21"/>
        </w:rPr>
        <w:t>不应使用「突破」「接近极限」「达到海森堡极限」等未在本文件中定义的表述。若确需引用极限，应同时给出所比较的极限定义式。</w:t>
      </w:r>
    </w:p>
    <w:p>
      <w:pPr>
        <w:spacing w:before="40" w:after="60" w:line="360" w:lineRule="auto"/>
        <w:ind w:left="510" w:hanging="510"/>
      </w:pPr>
      <w:r>
        <w:rPr>
          <w:rFonts w:ascii="PingFang SC" w:hAnsi="PingFang SC" w:eastAsia="PingFang SC"/>
          <w:color w:val="1F4E79"/>
          <w:sz w:val="21"/>
        </w:rPr>
        <w:t xml:space="preserve">10.4  </w:t>
      </w:r>
      <w:r>
        <w:rPr>
          <w:rFonts w:ascii="Songti SC" w:hAnsi="Songti SC" w:eastAsia="Songti SC"/>
          <w:sz w:val="21"/>
        </w:rPr>
        <w:t>边界部分应明示未覆盖的效应，至少包括：反作用噪声、群延迟与色散、非高斯性、以及第 7.6 条所述的口径敏感性。</w:t>
      </w:r>
    </w:p>
    <w:p>
      <w:r>
        <w:br w:type="page"/>
      </w:r>
    </w:p>
    <w:p>
      <w:pPr>
        <w:keepNext/>
        <w:pBdr>
          <w:bottom w:val="single" w:sz="6" w:space="3" w:color="BFCEDD"/>
        </w:pBdr>
        <w:spacing w:before="400" w:after="160"/>
      </w:pPr>
      <w:r>
        <w:rPr>
          <w:rFonts w:ascii="PingFang SC" w:hAnsi="PingFang SC" w:eastAsia="PingFang SC"/>
          <w:b/>
          <w:color w:val="1F4E79"/>
          <w:sz w:val="26"/>
        </w:rPr>
        <w:t xml:space="preserve">附录 A  </w:t>
      </w:r>
      <w:r>
        <w:rPr>
          <w:rFonts w:ascii="PingFang SC" w:hAnsi="PingFang SC" w:eastAsia="PingFang SC"/>
          <w:b/>
          <w:color w:val="1F4E79"/>
          <w:sz w:val="26"/>
        </w:rPr>
        <w:t>（规范性附录）计算示例：压缩注入的回溯核验</w:t>
      </w:r>
    </w:p>
    <w:p>
      <w:pPr>
        <w:spacing w:before="0" w:after="120" w:line="372" w:lineRule="auto"/>
        <w:ind w:firstLine="420"/>
      </w:pPr>
      <w:r>
        <w:rPr>
          <w:rFonts w:ascii="Times New Roman" w:hAnsi="Times New Roman" w:eastAsia="Songti SC"/>
          <w:b w:val="0"/>
          <w:i w:val="0"/>
          <w:color w:val="1A1A1A"/>
          <w:sz w:val="21"/>
        </w:rPr>
        <w:t>A.1 本附录给出一个完整算例，用于说明第 8 章各式的用法。算例采用公开报道的引力波探测器压缩注入数据，不涉及任何未公开信息。</w:t>
      </w:r>
    </w:p>
    <w:p>
      <w:pPr>
        <w:keepNext/>
        <w:spacing w:before="120" w:after="60"/>
      </w:pPr>
      <w:r>
        <w:rPr>
          <w:rFonts w:ascii="PingFang SC" w:hAnsi="PingFang SC" w:eastAsia="PingFang SC"/>
          <w:b/>
          <w:color w:val="1A1A1A"/>
          <w:sz w:val="19"/>
        </w:rPr>
        <w:t>表 A.1  回溯核验算例</w:t>
      </w:r>
    </w:p>
    <w:tbl>
      <w:tblPr>
        <w:tblW w:w="9412" w:type="dxa"/>
        <w:jc w:val="center"/>
        <w:tblBorders>
          <w:top w:val="single" w:sz="4" w:space="0" w:color="C9D4E0"/>
          <w:left w:val="single" w:sz="4" w:space="0" w:color="C9D4E0"/>
          <w:bottom w:val="single" w:sz="4" w:space="0" w:color="C9D4E0"/>
          <w:right w:val="single" w:sz="4" w:space="0" w:color="C9D4E0"/>
          <w:insideH w:val="single" w:sz="4" w:space="0" w:color="C9D4E0"/>
          <w:insideV w:val="single" w:sz="4" w:space="0" w:color="C9D4E0"/>
        </w:tblBorders>
        <w:tblLayout w:type="fixed"/>
        <w:tblCellMar>
          <w:top w:w="50" w:type="dxa"/>
          <w:left w:w="90" w:type="dxa"/>
          <w:bottom w:w="50" w:type="dxa"/>
          <w:right w:w="90" w:type="dxa"/>
        </w:tblCellMar>
        <w:tblLook w:firstColumn="1" w:firstRow="1" w:lastColumn="0" w:lastRow="0" w:noHBand="0" w:noVBand="1" w:val="04A0"/>
      </w:tblPr>
      <w:tblGrid>
        <w:gridCol w:w="1927"/>
        <w:gridCol w:w="1360"/>
        <w:gridCol w:w="3402"/>
        <w:gridCol w:w="2721"/>
      </w:tblGrid>
      <w:tr>
        <w:trPr>
          <w:cantSplit/>
          <w:tblHeader/>
        </w:trPr>
        <w:tc>
          <w:tcPr>
            <w:tcW w:type="dxa" w:w="1928"/>
            <w:shd w:val="clear" w:color="auto" w:fill="DCE6F1"/>
          </w:tcPr>
          <w:p>
            <w:pPr>
              <w:keepNext/>
              <w:spacing w:before="30" w:after="30" w:line="276" w:lineRule="auto"/>
              <w:jc w:val="left"/>
            </w:pPr>
            <w:r>
              <w:rPr>
                <w:b/>
                <w:color w:val="1F4E79"/>
                <w:sz w:val="19"/>
              </w:rPr>
              <w:t>项</w:t>
            </w:r>
          </w:p>
        </w:tc>
        <w:tc>
          <w:tcPr>
            <w:tcW w:type="dxa" w:w="1361"/>
            <w:shd w:val="clear" w:color="auto" w:fill="DCE6F1"/>
          </w:tcPr>
          <w:p>
            <w:pPr>
              <w:keepNext/>
              <w:spacing w:before="30" w:after="30" w:line="276" w:lineRule="auto"/>
              <w:jc w:val="center"/>
            </w:pPr>
            <w:r>
              <w:rPr>
                <w:b/>
                <w:color w:val="1F4E79"/>
                <w:sz w:val="19"/>
              </w:rPr>
              <w:t>符号</w:t>
            </w:r>
          </w:p>
        </w:tc>
        <w:tc>
          <w:tcPr>
            <w:tcW w:type="dxa" w:w="3402"/>
            <w:shd w:val="clear" w:color="auto" w:fill="DCE6F1"/>
          </w:tcPr>
          <w:p>
            <w:pPr>
              <w:keepNext/>
              <w:spacing w:before="30" w:after="30" w:line="276" w:lineRule="auto"/>
              <w:jc w:val="left"/>
            </w:pPr>
            <w:r>
              <w:rPr>
                <w:b/>
                <w:color w:val="1F4E79"/>
                <w:sz w:val="19"/>
              </w:rPr>
              <w:t>取值</w:t>
            </w:r>
          </w:p>
        </w:tc>
        <w:tc>
          <w:tcPr>
            <w:tcW w:type="dxa" w:w="2721"/>
            <w:shd w:val="clear" w:color="auto" w:fill="DCE6F1"/>
          </w:tcPr>
          <w:p>
            <w:pPr>
              <w:keepNext/>
              <w:spacing w:before="30" w:after="30" w:line="276" w:lineRule="auto"/>
              <w:jc w:val="left"/>
            </w:pPr>
            <w:r>
              <w:rPr>
                <w:b/>
                <w:color w:val="1F4E79"/>
                <w:sz w:val="19"/>
              </w:rPr>
              <w:t>来源</w:t>
            </w:r>
          </w:p>
        </w:tc>
      </w:tr>
      <w:tr>
        <w:trPr>
          <w:cantSplit/>
        </w:trPr>
        <w:tc>
          <w:tcPr>
            <w:tcW w:type="dxa" w:w="1928"/>
          </w:tcPr>
          <w:p>
            <w:pPr>
              <w:keepNext/>
              <w:spacing w:before="30" w:after="30" w:line="276" w:lineRule="auto"/>
              <w:jc w:val="left"/>
            </w:pPr>
            <w:r>
              <w:rPr>
                <w:sz w:val="19"/>
              </w:rPr>
              <w:t>输入压缩度</w:t>
            </w:r>
          </w:p>
        </w:tc>
        <w:tc>
          <w:tcPr>
            <w:tcW w:type="dxa" w:w="1361"/>
          </w:tcPr>
          <w:p>
            <w:pPr>
              <w:keepNext/>
              <w:spacing w:before="30" w:after="30" w:line="276" w:lineRule="auto"/>
              <w:jc w:val="center"/>
            </w:pPr>
            <w:r>
              <w:rPr>
                <w:sz w:val="19"/>
              </w:rPr>
              <w:t>r</w:t>
            </w:r>
          </w:p>
        </w:tc>
        <w:tc>
          <w:tcPr>
            <w:tcW w:type="dxa" w:w="3402"/>
          </w:tcPr>
          <w:p>
            <w:pPr>
              <w:keepNext/>
              <w:spacing w:before="30" w:after="30" w:line="276" w:lineRule="auto"/>
              <w:jc w:val="left"/>
            </w:pPr>
            <w:r>
              <w:rPr>
                <w:sz w:val="19"/>
              </w:rPr>
              <w:t>6.0 dB（V_sq = 0.251）</w:t>
            </w:r>
          </w:p>
        </w:tc>
        <w:tc>
          <w:tcPr>
            <w:tcW w:type="dxa" w:w="2721"/>
          </w:tcPr>
          <w:p>
            <w:pPr>
              <w:keepNext/>
              <w:spacing w:before="30" w:after="30" w:line="276" w:lineRule="auto"/>
              <w:jc w:val="left"/>
            </w:pPr>
            <w:r>
              <w:rPr>
                <w:sz w:val="19"/>
              </w:rPr>
              <w:t>光源输出处测量</w:t>
            </w:r>
          </w:p>
        </w:tc>
      </w:tr>
      <w:tr>
        <w:trPr>
          <w:cantSplit/>
        </w:trPr>
        <w:tc>
          <w:tcPr>
            <w:tcW w:type="dxa" w:w="1928"/>
            <w:shd w:val="clear" w:color="auto" w:fill="F7F9FC"/>
          </w:tcPr>
          <w:p>
            <w:pPr>
              <w:keepNext/>
              <w:spacing w:before="30" w:after="30" w:line="276" w:lineRule="auto"/>
              <w:jc w:val="left"/>
            </w:pPr>
            <w:r>
              <w:rPr>
                <w:sz w:val="19"/>
              </w:rPr>
              <w:t>链路总损耗</w:t>
            </w:r>
          </w:p>
        </w:tc>
        <w:tc>
          <w:tcPr>
            <w:tcW w:type="dxa" w:w="1361"/>
            <w:shd w:val="clear" w:color="auto" w:fill="F7F9FC"/>
          </w:tcPr>
          <w:p>
            <w:pPr>
              <w:keepNext/>
              <w:spacing w:before="30" w:after="30" w:line="276" w:lineRule="auto"/>
              <w:jc w:val="center"/>
            </w:pPr>
            <w:r>
              <w:rPr>
                <w:sz w:val="19"/>
              </w:rPr>
              <w:t>L</w:t>
            </w:r>
          </w:p>
        </w:tc>
        <w:tc>
          <w:tcPr>
            <w:tcW w:type="dxa" w:w="3402"/>
            <w:shd w:val="clear" w:color="auto" w:fill="F7F9FC"/>
          </w:tcPr>
          <w:p>
            <w:pPr>
              <w:keepNext/>
              <w:spacing w:before="30" w:after="30" w:line="276" w:lineRule="auto"/>
              <w:jc w:val="left"/>
            </w:pPr>
            <w:r>
              <w:rPr>
                <w:sz w:val="19"/>
              </w:rPr>
              <w:t>0.30</w:t>
            </w:r>
          </w:p>
        </w:tc>
        <w:tc>
          <w:tcPr>
            <w:tcW w:type="dxa" w:w="2721"/>
            <w:shd w:val="clear" w:color="auto" w:fill="F7F9FC"/>
          </w:tcPr>
          <w:p>
            <w:pPr>
              <w:keepNext/>
              <w:spacing w:before="30" w:after="30" w:line="276" w:lineRule="auto"/>
              <w:jc w:val="left"/>
            </w:pPr>
            <w:r>
              <w:rPr>
                <w:sz w:val="19"/>
              </w:rPr>
              <w:t>分项合计</w:t>
            </w:r>
          </w:p>
        </w:tc>
      </w:tr>
      <w:tr>
        <w:trPr>
          <w:cantSplit/>
        </w:trPr>
        <w:tc>
          <w:tcPr>
            <w:tcW w:type="dxa" w:w="1928"/>
          </w:tcPr>
          <w:p>
            <w:pPr>
              <w:keepNext/>
              <w:spacing w:before="30" w:after="30" w:line="276" w:lineRule="auto"/>
              <w:jc w:val="left"/>
            </w:pPr>
            <w:r>
              <w:rPr>
                <w:sz w:val="19"/>
              </w:rPr>
              <w:t>附加噪声</w:t>
            </w:r>
          </w:p>
        </w:tc>
        <w:tc>
          <w:tcPr>
            <w:tcW w:type="dxa" w:w="1361"/>
          </w:tcPr>
          <w:p>
            <w:pPr>
              <w:keepNext/>
              <w:spacing w:before="30" w:after="30" w:line="276" w:lineRule="auto"/>
              <w:jc w:val="center"/>
            </w:pPr>
            <w:r>
              <w:rPr>
                <w:sz w:val="19"/>
              </w:rPr>
              <w:t>n</w:t>
            </w:r>
          </w:p>
        </w:tc>
        <w:tc>
          <w:tcPr>
            <w:tcW w:type="dxa" w:w="3402"/>
          </w:tcPr>
          <w:p>
            <w:pPr>
              <w:keepNext/>
              <w:spacing w:before="30" w:after="30" w:line="276" w:lineRule="auto"/>
              <w:jc w:val="left"/>
            </w:pPr>
            <w:r>
              <w:rPr>
                <w:sz w:val="19"/>
              </w:rPr>
              <w:t>0（近似）</w:t>
            </w:r>
          </w:p>
        </w:tc>
        <w:tc>
          <w:tcPr>
            <w:tcW w:type="dxa" w:w="2721"/>
          </w:tcPr>
          <w:p>
            <w:pPr>
              <w:keepNext/>
              <w:spacing w:before="30" w:after="30" w:line="276" w:lineRule="auto"/>
              <w:jc w:val="left"/>
            </w:pPr>
            <w:r>
              <w:rPr>
                <w:sz w:val="19"/>
              </w:rPr>
              <w:t>阻断法测得噪声底</w:t>
            </w:r>
          </w:p>
        </w:tc>
      </w:tr>
      <w:tr>
        <w:trPr>
          <w:cantSplit/>
        </w:trPr>
        <w:tc>
          <w:tcPr>
            <w:tcW w:type="dxa" w:w="1928"/>
            <w:shd w:val="clear" w:color="auto" w:fill="F7F9FC"/>
          </w:tcPr>
          <w:p>
            <w:pPr>
              <w:keepNext/>
              <w:spacing w:before="30" w:after="30" w:line="276" w:lineRule="auto"/>
              <w:jc w:val="left"/>
            </w:pPr>
            <w:r>
              <w:rPr>
                <w:sz w:val="19"/>
              </w:rPr>
              <w:t>探测器处方差</w:t>
            </w:r>
          </w:p>
        </w:tc>
        <w:tc>
          <w:tcPr>
            <w:tcW w:type="dxa" w:w="1361"/>
            <w:shd w:val="clear" w:color="auto" w:fill="F7F9FC"/>
          </w:tcPr>
          <w:p>
            <w:pPr>
              <w:keepNext/>
              <w:spacing w:before="30" w:after="30" w:line="276" w:lineRule="auto"/>
              <w:jc w:val="center"/>
            </w:pPr>
            <w:r>
              <w:rPr>
                <w:sz w:val="19"/>
              </w:rPr>
              <w:t>V_out</w:t>
            </w:r>
          </w:p>
        </w:tc>
        <w:tc>
          <w:tcPr>
            <w:tcW w:type="dxa" w:w="3402"/>
            <w:shd w:val="clear" w:color="auto" w:fill="F7F9FC"/>
          </w:tcPr>
          <w:p>
            <w:pPr>
              <w:keepNext/>
              <w:spacing w:before="30" w:after="30" w:line="276" w:lineRule="auto"/>
              <w:jc w:val="left"/>
            </w:pPr>
            <w:r>
              <w:rPr>
                <w:sz w:val="19"/>
              </w:rPr>
              <w:t>0.476</w:t>
            </w:r>
          </w:p>
        </w:tc>
        <w:tc>
          <w:tcPr>
            <w:tcW w:type="dxa" w:w="2721"/>
            <w:shd w:val="clear" w:color="auto" w:fill="F7F9FC"/>
          </w:tcPr>
          <w:p>
            <w:pPr>
              <w:keepNext/>
              <w:spacing w:before="30" w:after="30" w:line="276" w:lineRule="auto"/>
              <w:jc w:val="left"/>
            </w:pPr>
            <w:r>
              <w:rPr>
                <w:sz w:val="19"/>
              </w:rPr>
              <w:t>按 8.1 计算</w:t>
            </w:r>
          </w:p>
        </w:tc>
      </w:tr>
      <w:tr>
        <w:trPr>
          <w:cantSplit/>
        </w:trPr>
        <w:tc>
          <w:tcPr>
            <w:tcW w:type="dxa" w:w="1928"/>
          </w:tcPr>
          <w:p>
            <w:pPr>
              <w:keepNext/>
              <w:spacing w:before="30" w:after="30" w:line="276" w:lineRule="auto"/>
              <w:jc w:val="left"/>
            </w:pPr>
            <w:r>
              <w:rPr>
                <w:sz w:val="19"/>
              </w:rPr>
              <w:t>有效压缩</w:t>
            </w:r>
          </w:p>
        </w:tc>
        <w:tc>
          <w:tcPr>
            <w:tcW w:type="dxa" w:w="1361"/>
          </w:tcPr>
          <w:p>
            <w:pPr>
              <w:keepNext/>
              <w:spacing w:before="30" w:after="30" w:line="276" w:lineRule="auto"/>
              <w:jc w:val="center"/>
            </w:pPr>
            <w:r>
              <w:rPr>
                <w:sz w:val="19"/>
              </w:rPr>
              <w:t>Ae</w:t>
            </w:r>
          </w:p>
        </w:tc>
        <w:tc>
          <w:tcPr>
            <w:tcW w:type="dxa" w:w="3402"/>
          </w:tcPr>
          <w:p>
            <w:pPr>
              <w:keepNext/>
              <w:spacing w:before="30" w:after="30" w:line="276" w:lineRule="auto"/>
              <w:jc w:val="left"/>
            </w:pPr>
            <w:r>
              <w:rPr>
                <w:sz w:val="19"/>
              </w:rPr>
              <w:t>3.23 dB</w:t>
            </w:r>
          </w:p>
        </w:tc>
        <w:tc>
          <w:tcPr>
            <w:tcW w:type="dxa" w:w="2721"/>
          </w:tcPr>
          <w:p>
            <w:pPr>
              <w:keepNext/>
              <w:spacing w:before="30" w:after="30" w:line="276" w:lineRule="auto"/>
              <w:jc w:val="left"/>
            </w:pPr>
            <w:r>
              <w:rPr>
                <w:sz w:val="19"/>
              </w:rPr>
              <w:t>按 8.1.2 计算</w:t>
            </w:r>
          </w:p>
        </w:tc>
      </w:tr>
      <w:tr>
        <w:trPr>
          <w:cantSplit/>
        </w:trPr>
        <w:tc>
          <w:tcPr>
            <w:tcW w:type="dxa" w:w="1928"/>
            <w:shd w:val="clear" w:color="auto" w:fill="F7F9FC"/>
          </w:tcPr>
          <w:p>
            <w:pPr>
              <w:keepNext/>
              <w:spacing w:before="30" w:after="30" w:line="276" w:lineRule="auto"/>
              <w:jc w:val="left"/>
            </w:pPr>
            <w:r>
              <w:rPr>
                <w:sz w:val="19"/>
              </w:rPr>
              <w:t>实测有效压缩</w:t>
            </w:r>
          </w:p>
        </w:tc>
        <w:tc>
          <w:tcPr>
            <w:tcW w:type="dxa" w:w="1361"/>
            <w:shd w:val="clear" w:color="auto" w:fill="F7F9FC"/>
          </w:tcPr>
          <w:p>
            <w:pPr>
              <w:keepNext/>
              <w:spacing w:before="30" w:after="30" w:line="276" w:lineRule="auto"/>
              <w:jc w:val="center"/>
            </w:pPr>
            <w:r>
              <w:rPr>
                <w:sz w:val="19"/>
              </w:rPr>
              <w:t>—</w:t>
            </w:r>
          </w:p>
        </w:tc>
        <w:tc>
          <w:tcPr>
            <w:tcW w:type="dxa" w:w="3402"/>
            <w:shd w:val="clear" w:color="auto" w:fill="F7F9FC"/>
          </w:tcPr>
          <w:p>
            <w:pPr>
              <w:keepNext/>
              <w:spacing w:before="30" w:after="30" w:line="276" w:lineRule="auto"/>
              <w:jc w:val="left"/>
            </w:pPr>
            <w:r>
              <w:rPr>
                <w:sz w:val="19"/>
              </w:rPr>
              <w:t>约 3 dB</w:t>
            </w:r>
          </w:p>
        </w:tc>
        <w:tc>
          <w:tcPr>
            <w:tcW w:type="dxa" w:w="2721"/>
            <w:shd w:val="clear" w:color="auto" w:fill="F7F9FC"/>
          </w:tcPr>
          <w:p>
            <w:pPr>
              <w:keepNext/>
              <w:spacing w:before="30" w:after="30" w:line="276" w:lineRule="auto"/>
              <w:jc w:val="left"/>
            </w:pPr>
            <w:r>
              <w:rPr>
                <w:sz w:val="19"/>
              </w:rPr>
              <w:t>公开报道</w:t>
            </w:r>
          </w:p>
        </w:tc>
      </w:tr>
      <w:tr>
        <w:trPr>
          <w:cantSplit/>
        </w:trPr>
        <w:tc>
          <w:tcPr>
            <w:tcW w:type="dxa" w:w="1928"/>
          </w:tcPr>
          <w:p>
            <w:pPr>
              <w:spacing w:before="30" w:after="30" w:line="276" w:lineRule="auto"/>
              <w:jc w:val="left"/>
            </w:pPr>
            <w:r>
              <w:rPr>
                <w:sz w:val="19"/>
              </w:rPr>
              <w:t>偏差</w:t>
            </w:r>
          </w:p>
        </w:tc>
        <w:tc>
          <w:tcPr>
            <w:tcW w:type="dxa" w:w="1361"/>
          </w:tcPr>
          <w:p>
            <w:pPr>
              <w:spacing w:before="30" w:after="30" w:line="276" w:lineRule="auto"/>
              <w:jc w:val="center"/>
            </w:pPr>
            <w:r>
              <w:rPr>
                <w:sz w:val="19"/>
              </w:rPr>
              <w:t>—</w:t>
            </w:r>
          </w:p>
        </w:tc>
        <w:tc>
          <w:tcPr>
            <w:tcW w:type="dxa" w:w="3402"/>
          </w:tcPr>
          <w:p>
            <w:pPr>
              <w:spacing w:before="30" w:after="30" w:line="276" w:lineRule="auto"/>
              <w:jc w:val="left"/>
            </w:pPr>
            <w:r>
              <w:rPr>
                <w:sz w:val="19"/>
              </w:rPr>
              <w:t>0.2 dB</w:t>
            </w:r>
          </w:p>
        </w:tc>
        <w:tc>
          <w:tcPr>
            <w:tcW w:type="dxa" w:w="2721"/>
          </w:tcPr>
          <w:p>
            <w:pPr>
              <w:spacing w:before="30" w:after="30" w:line="276" w:lineRule="auto"/>
              <w:jc w:val="left"/>
            </w:pPr>
            <w:r>
              <w:rPr>
                <w:sz w:val="19"/>
              </w:rPr>
              <w:t>—</w:t>
            </w:r>
          </w:p>
        </w:tc>
      </w:tr>
    </w:tbl>
    <w:p>
      <w:pPr>
        <w:spacing w:before="0" w:after="120" w:line="372" w:lineRule="auto"/>
        <w:ind w:firstLine="420"/>
      </w:pPr>
      <w:r>
        <w:rPr>
          <w:rFonts w:ascii="Times New Roman" w:hAnsi="Times New Roman" w:eastAsia="Songti SC"/>
          <w:b w:val="0"/>
          <w:i w:val="0"/>
          <w:color w:val="1A1A1A"/>
          <w:sz w:val="21"/>
        </w:rPr>
        <w:t>A.2 计算过程：</w:t>
      </w:r>
    </w:p>
    <w:p>
      <w:pPr>
        <w:spacing w:before="80" w:after="160" w:line="312" w:lineRule="auto"/>
        <w:jc w:val="center"/>
      </w:pPr>
      <w:r>
        <w:rPr>
          <w:rFonts w:ascii="Cambria Math" w:hAnsi="Cambria Math" w:eastAsia="Songti SC"/>
          <w:color w:val="1A1A1A"/>
          <w:sz w:val="22"/>
        </w:rPr>
        <w:t>V_out = 0.70 × 0.251 + 0.30 + 0 = 0.476</w:t>
      </w:r>
    </w:p>
    <w:p>
      <w:pPr>
        <w:spacing w:before="80" w:after="160" w:line="312" w:lineRule="auto"/>
        <w:jc w:val="center"/>
      </w:pPr>
      <w:r>
        <w:rPr>
          <w:rFonts w:ascii="Cambria Math" w:hAnsi="Cambria Math" w:eastAsia="Songti SC"/>
          <w:color w:val="1A1A1A"/>
          <w:sz w:val="22"/>
        </w:rPr>
        <w:t>Ae = −10·lg 0.476 = 3.23 dB</w:t>
      </w:r>
    </w:p>
    <w:p>
      <w:pPr>
        <w:spacing w:before="0" w:after="120" w:line="372" w:lineRule="auto"/>
        <w:ind w:firstLine="420"/>
      </w:pPr>
      <w:r>
        <w:rPr>
          <w:rFonts w:ascii="Times New Roman" w:hAnsi="Times New Roman" w:eastAsia="Songti SC"/>
          <w:b w:val="0"/>
          <w:i w:val="0"/>
          <w:color w:val="1A1A1A"/>
          <w:sz w:val="21"/>
        </w:rPr>
        <w:t>A.3 与实测值相差 0.2 dB，在损耗分项的测量不确定度之内，核验通过。</w:t>
      </w:r>
    </w:p>
    <w:p>
      <w:pPr>
        <w:spacing w:before="0" w:after="120" w:line="372" w:lineRule="auto"/>
        <w:ind w:firstLine="420"/>
      </w:pPr>
      <w:r>
        <w:rPr>
          <w:rFonts w:ascii="Times New Roman" w:hAnsi="Times New Roman" w:eastAsia="Songti SC"/>
          <w:b w:val="0"/>
          <w:i w:val="0"/>
          <w:color w:val="1A1A1A"/>
          <w:sz w:val="21"/>
        </w:rPr>
        <w:t>A.4 损耗地板：V_out ≥ 1 − η = L = 0.30，即 Ae,max = 5.23 dB。本例的有效压缩 3.23 dB 已达到该上限的 62%，进一步改善应优先降低 L，而非提高输入压缩度。</w:t>
      </w:r>
    </w:p>
    <w:p>
      <w:pPr>
        <w:keepNext/>
        <w:pBdr>
          <w:bottom w:val="single" w:sz="6" w:space="3" w:color="BFCEDD"/>
        </w:pBdr>
        <w:spacing w:before="400" w:after="160"/>
      </w:pPr>
      <w:r>
        <w:rPr>
          <w:rFonts w:ascii="PingFang SC" w:hAnsi="PingFang SC" w:eastAsia="PingFang SC"/>
          <w:b/>
          <w:color w:val="1F4E79"/>
          <w:sz w:val="26"/>
        </w:rPr>
        <w:t xml:space="preserve">附录 B  </w:t>
      </w:r>
      <w:r>
        <w:rPr>
          <w:rFonts w:ascii="PingFang SC" w:hAnsi="PingFang SC" w:eastAsia="PingFang SC"/>
          <w:b/>
          <w:color w:val="1F4E79"/>
          <w:sz w:val="26"/>
        </w:rPr>
        <w:t>（资料性附录）常见表述与更正</w:t>
      </w:r>
    </w:p>
    <w:p>
      <w:pPr>
        <w:keepNext/>
        <w:spacing w:before="120" w:after="60"/>
      </w:pPr>
      <w:r>
        <w:rPr>
          <w:rFonts w:ascii="PingFang SC" w:hAnsi="PingFang SC" w:eastAsia="PingFang SC"/>
          <w:b/>
          <w:color w:val="1A1A1A"/>
          <w:sz w:val="19"/>
        </w:rPr>
        <w:t>表 B.1  常见表述与更正</w:t>
      </w:r>
    </w:p>
    <w:tbl>
      <w:tblPr>
        <w:tblW w:w="9412" w:type="dxa"/>
        <w:jc w:val="center"/>
        <w:tblBorders>
          <w:top w:val="single" w:sz="4" w:space="0" w:color="C9D4E0"/>
          <w:left w:val="single" w:sz="4" w:space="0" w:color="C9D4E0"/>
          <w:bottom w:val="single" w:sz="4" w:space="0" w:color="C9D4E0"/>
          <w:right w:val="single" w:sz="4" w:space="0" w:color="C9D4E0"/>
          <w:insideH w:val="single" w:sz="4" w:space="0" w:color="C9D4E0"/>
          <w:insideV w:val="single" w:sz="4" w:space="0" w:color="C9D4E0"/>
        </w:tblBorders>
        <w:tblLayout w:type="fixed"/>
        <w:tblCellMar>
          <w:top w:w="50" w:type="dxa"/>
          <w:left w:w="90" w:type="dxa"/>
          <w:bottom w:w="50" w:type="dxa"/>
          <w:right w:w="90" w:type="dxa"/>
        </w:tblCellMar>
        <w:tblLook w:firstColumn="1" w:firstRow="1" w:lastColumn="0" w:lastRow="0" w:noHBand="0" w:noVBand="1" w:val="04A0"/>
      </w:tblPr>
      <w:tblGrid>
        <w:gridCol w:w="3061"/>
        <w:gridCol w:w="3061"/>
        <w:gridCol w:w="3288"/>
      </w:tblGrid>
      <w:tr>
        <w:trPr>
          <w:cantSplit/>
          <w:tblHeader/>
        </w:trPr>
        <w:tc>
          <w:tcPr>
            <w:tcW w:type="dxa" w:w="3061"/>
            <w:shd w:val="clear" w:color="auto" w:fill="DCE6F1"/>
          </w:tcPr>
          <w:p>
            <w:pPr>
              <w:keepNext/>
              <w:spacing w:before="30" w:after="30" w:line="276" w:lineRule="auto"/>
              <w:jc w:val="left"/>
            </w:pPr>
            <w:r>
              <w:rPr>
                <w:b/>
                <w:color w:val="1F4E79"/>
                <w:sz w:val="18"/>
              </w:rPr>
              <w:t>常见表述</w:t>
            </w:r>
          </w:p>
        </w:tc>
        <w:tc>
          <w:tcPr>
            <w:tcW w:type="dxa" w:w="3061"/>
            <w:shd w:val="clear" w:color="auto" w:fill="DCE6F1"/>
          </w:tcPr>
          <w:p>
            <w:pPr>
              <w:keepNext/>
              <w:spacing w:before="30" w:after="30" w:line="276" w:lineRule="auto"/>
              <w:jc w:val="left"/>
            </w:pPr>
            <w:r>
              <w:rPr>
                <w:b/>
                <w:color w:val="1F4E79"/>
                <w:sz w:val="18"/>
              </w:rPr>
              <w:t>问题</w:t>
            </w:r>
          </w:p>
        </w:tc>
        <w:tc>
          <w:tcPr>
            <w:tcW w:type="dxa" w:w="3288"/>
            <w:shd w:val="clear" w:color="auto" w:fill="DCE6F1"/>
          </w:tcPr>
          <w:p>
            <w:pPr>
              <w:keepNext/>
              <w:spacing w:before="30" w:after="30" w:line="276" w:lineRule="auto"/>
              <w:jc w:val="left"/>
            </w:pPr>
            <w:r>
              <w:rPr>
                <w:b/>
                <w:color w:val="1F4E79"/>
                <w:sz w:val="18"/>
              </w:rPr>
              <w:t>按本文件的更正</w:t>
            </w:r>
          </w:p>
        </w:tc>
      </w:tr>
      <w:tr>
        <w:trPr>
          <w:cantSplit/>
        </w:trPr>
        <w:tc>
          <w:tcPr>
            <w:tcW w:type="dxa" w:w="3061"/>
          </w:tcPr>
          <w:p>
            <w:pPr>
              <w:keepNext/>
              <w:spacing w:before="30" w:after="30" w:line="276" w:lineRule="auto"/>
              <w:jc w:val="left"/>
            </w:pPr>
            <w:r>
              <w:rPr>
                <w:sz w:val="18"/>
              </w:rPr>
              <w:t>「实现 10 dB 压缩」</w:t>
            </w:r>
          </w:p>
        </w:tc>
        <w:tc>
          <w:tcPr>
            <w:tcW w:type="dxa" w:w="3061"/>
          </w:tcPr>
          <w:p>
            <w:pPr>
              <w:keepNext/>
              <w:spacing w:before="30" w:after="30" w:line="276" w:lineRule="auto"/>
              <w:jc w:val="left"/>
            </w:pPr>
            <w:r>
              <w:rPr>
                <w:sz w:val="18"/>
              </w:rPr>
              <w:t>未报链路损耗，无法判断探测器处的有效压缩</w:t>
            </w:r>
          </w:p>
        </w:tc>
        <w:tc>
          <w:tcPr>
            <w:tcW w:type="dxa" w:w="3288"/>
          </w:tcPr>
          <w:p>
            <w:pPr>
              <w:keepNext/>
              <w:spacing w:before="30" w:after="30" w:line="276" w:lineRule="auto"/>
              <w:jc w:val="left"/>
            </w:pPr>
            <w:r>
              <w:rPr>
                <w:sz w:val="18"/>
              </w:rPr>
              <w:t>应同时给出 L 与 V_out</w:t>
            </w:r>
          </w:p>
        </w:tc>
      </w:tr>
      <w:tr>
        <w:trPr>
          <w:cantSplit/>
        </w:trPr>
        <w:tc>
          <w:tcPr>
            <w:tcW w:type="dxa" w:w="3061"/>
            <w:shd w:val="clear" w:color="auto" w:fill="F7F9FC"/>
          </w:tcPr>
          <w:p>
            <w:pPr>
              <w:keepNext/>
              <w:spacing w:before="30" w:after="30" w:line="276" w:lineRule="auto"/>
              <w:jc w:val="left"/>
            </w:pPr>
            <w:r>
              <w:rPr>
                <w:sz w:val="18"/>
              </w:rPr>
              <w:t>「有效压缩 9.0 dB，V = 0.154」</w:t>
            </w:r>
          </w:p>
        </w:tc>
        <w:tc>
          <w:tcPr>
            <w:tcW w:type="dxa" w:w="3061"/>
            <w:shd w:val="clear" w:color="auto" w:fill="F7F9FC"/>
          </w:tcPr>
          <w:p>
            <w:pPr>
              <w:keepNext/>
              <w:spacing w:before="30" w:after="30" w:line="276" w:lineRule="auto"/>
              <w:jc w:val="left"/>
            </w:pPr>
            <w:r>
              <w:rPr>
                <w:sz w:val="18"/>
              </w:rPr>
              <w:t>两列互不一致（0.154 对应 8.12 dB）</w:t>
            </w:r>
          </w:p>
        </w:tc>
        <w:tc>
          <w:tcPr>
            <w:tcW w:type="dxa" w:w="3288"/>
            <w:shd w:val="clear" w:color="auto" w:fill="F7F9FC"/>
          </w:tcPr>
          <w:p>
            <w:pPr>
              <w:keepNext/>
              <w:spacing w:before="30" w:after="30" w:line="276" w:lineRule="auto"/>
              <w:jc w:val="left"/>
            </w:pPr>
            <w:r>
              <w:rPr>
                <w:sz w:val="18"/>
              </w:rPr>
              <w:t>应以 V 为准，或说明两列的定义差异</w:t>
            </w:r>
          </w:p>
        </w:tc>
      </w:tr>
      <w:tr>
        <w:trPr>
          <w:cantSplit/>
        </w:trPr>
        <w:tc>
          <w:tcPr>
            <w:tcW w:type="dxa" w:w="3061"/>
          </w:tcPr>
          <w:p>
            <w:pPr>
              <w:keepNext/>
              <w:spacing w:before="30" w:after="30" w:line="276" w:lineRule="auto"/>
              <w:jc w:val="left"/>
            </w:pPr>
            <w:r>
              <w:rPr>
                <w:sz w:val="18"/>
              </w:rPr>
              <w:t>「保真度 0.863，对应 V = 0.137」</w:t>
            </w:r>
          </w:p>
        </w:tc>
        <w:tc>
          <w:tcPr>
            <w:tcW w:type="dxa" w:w="3061"/>
          </w:tcPr>
          <w:p>
            <w:pPr>
              <w:keepNext/>
              <w:spacing w:before="30" w:after="30" w:line="276" w:lineRule="auto"/>
              <w:jc w:val="left"/>
            </w:pPr>
            <w:r>
              <w:rPr>
                <w:sz w:val="18"/>
              </w:rPr>
              <w:t>把保真度直接当作方差</w:t>
            </w:r>
          </w:p>
        </w:tc>
        <w:tc>
          <w:tcPr>
            <w:tcW w:type="dxa" w:w="3288"/>
          </w:tcPr>
          <w:p>
            <w:pPr>
              <w:keepNext/>
              <w:spacing w:before="30" w:after="30" w:line="276" w:lineRule="auto"/>
              <w:jc w:val="left"/>
            </w:pPr>
            <w:r>
              <w:rPr>
                <w:sz w:val="18"/>
              </w:rPr>
              <w:t>V = 1 − f(1 − V_sq) = 0.223</w:t>
            </w:r>
          </w:p>
        </w:tc>
      </w:tr>
      <w:tr>
        <w:trPr>
          <w:cantSplit/>
        </w:trPr>
        <w:tc>
          <w:tcPr>
            <w:tcW w:type="dxa" w:w="3061"/>
            <w:shd w:val="clear" w:color="auto" w:fill="F7F9FC"/>
          </w:tcPr>
          <w:p>
            <w:pPr>
              <w:keepNext/>
              <w:spacing w:before="30" w:after="30" w:line="276" w:lineRule="auto"/>
              <w:jc w:val="left"/>
            </w:pPr>
            <w:r>
              <w:rPr>
                <w:sz w:val="18"/>
              </w:rPr>
              <w:t>「压缩把精度推到海森堡极限」</w:t>
            </w:r>
          </w:p>
        </w:tc>
        <w:tc>
          <w:tcPr>
            <w:tcW w:type="dxa" w:w="3061"/>
            <w:shd w:val="clear" w:color="auto" w:fill="F7F9FC"/>
          </w:tcPr>
          <w:p>
            <w:pPr>
              <w:keepNext/>
              <w:spacing w:before="30" w:after="30" w:line="276" w:lineRule="auto"/>
              <w:jc w:val="left"/>
            </w:pPr>
            <w:r>
              <w:rPr>
                <w:sz w:val="18"/>
              </w:rPr>
              <w:t>只改变系数，不改变 1/√N 的标度</w:t>
            </w:r>
          </w:p>
        </w:tc>
        <w:tc>
          <w:tcPr>
            <w:tcW w:type="dxa" w:w="3288"/>
            <w:shd w:val="clear" w:color="auto" w:fill="F7F9FC"/>
          </w:tcPr>
          <w:p>
            <w:pPr>
              <w:keepNext/>
              <w:spacing w:before="30" w:after="30" w:line="276" w:lineRule="auto"/>
              <w:jc w:val="left"/>
            </w:pPr>
            <w:r>
              <w:rPr>
                <w:sz w:val="18"/>
              </w:rPr>
              <w:t>应写作「改善系数 e^(−r)」</w:t>
            </w:r>
          </w:p>
        </w:tc>
      </w:tr>
      <w:tr>
        <w:trPr>
          <w:cantSplit/>
        </w:trPr>
        <w:tc>
          <w:tcPr>
            <w:tcW w:type="dxa" w:w="3061"/>
          </w:tcPr>
          <w:p>
            <w:pPr>
              <w:keepNext/>
              <w:spacing w:before="30" w:after="30" w:line="276" w:lineRule="auto"/>
              <w:jc w:val="left"/>
            </w:pPr>
            <w:r>
              <w:rPr>
                <w:sz w:val="18"/>
              </w:rPr>
              <w:t>「用增益补偿损耗」</w:t>
            </w:r>
          </w:p>
        </w:tc>
        <w:tc>
          <w:tcPr>
            <w:tcW w:type="dxa" w:w="3061"/>
          </w:tcPr>
          <w:p>
            <w:pPr>
              <w:keepNext/>
              <w:spacing w:before="30" w:after="30" w:line="276" w:lineRule="auto"/>
              <w:jc w:val="left"/>
            </w:pPr>
            <w:r>
              <w:rPr>
                <w:sz w:val="18"/>
              </w:rPr>
              <w:t>未扣噪声代价</w:t>
            </w:r>
          </w:p>
        </w:tc>
        <w:tc>
          <w:tcPr>
            <w:tcW w:type="dxa" w:w="3288"/>
          </w:tcPr>
          <w:p>
            <w:pPr>
              <w:keepNext/>
              <w:spacing w:before="30" w:after="30" w:line="276" w:lineRule="auto"/>
              <w:jc w:val="left"/>
            </w:pPr>
            <w:r>
              <w:rPr>
                <w:sz w:val="18"/>
              </w:rPr>
              <w:t>应先扣不低于 3 dB 的噪声系数</w:t>
            </w:r>
          </w:p>
        </w:tc>
      </w:tr>
      <w:tr>
        <w:trPr>
          <w:cantSplit/>
        </w:trPr>
        <w:tc>
          <w:tcPr>
            <w:tcW w:type="dxa" w:w="3061"/>
            <w:shd w:val="clear" w:color="auto" w:fill="F7F9FC"/>
          </w:tcPr>
          <w:p>
            <w:pPr>
              <w:keepNext/>
              <w:spacing w:before="30" w:after="30" w:line="276" w:lineRule="auto"/>
              <w:jc w:val="left"/>
            </w:pPr>
            <w:r>
              <w:rPr>
                <w:sz w:val="18"/>
              </w:rPr>
              <w:t>「等效损耗降至 0.06」</w:t>
            </w:r>
          </w:p>
        </w:tc>
        <w:tc>
          <w:tcPr>
            <w:tcW w:type="dxa" w:w="3061"/>
            <w:shd w:val="clear" w:color="auto" w:fill="F7F9FC"/>
          </w:tcPr>
          <w:p>
            <w:pPr>
              <w:keepNext/>
              <w:spacing w:before="30" w:after="30" w:line="276" w:lineRule="auto"/>
              <w:jc w:val="left"/>
            </w:pPr>
            <w:r>
              <w:rPr>
                <w:sz w:val="18"/>
              </w:rPr>
              <w:t>未给出该值的导出过程</w:t>
            </w:r>
          </w:p>
        </w:tc>
        <w:tc>
          <w:tcPr>
            <w:tcW w:type="dxa" w:w="3288"/>
            <w:shd w:val="clear" w:color="auto" w:fill="F7F9FC"/>
          </w:tcPr>
          <w:p>
            <w:pPr>
              <w:keepNext/>
              <w:spacing w:before="30" w:after="30" w:line="276" w:lineRule="auto"/>
              <w:jc w:val="left"/>
            </w:pPr>
            <w:r>
              <w:rPr>
                <w:sz w:val="18"/>
              </w:rPr>
              <w:t>应给出 f、ε 的实测值与合成方式</w:t>
            </w:r>
          </w:p>
        </w:tc>
      </w:tr>
      <w:tr>
        <w:trPr>
          <w:cantSplit/>
        </w:trPr>
        <w:tc>
          <w:tcPr>
            <w:tcW w:type="dxa" w:w="3061"/>
          </w:tcPr>
          <w:p>
            <w:pPr>
              <w:keepNext/>
              <w:spacing w:before="30" w:after="30" w:line="276" w:lineRule="auto"/>
              <w:jc w:val="left"/>
            </w:pPr>
            <w:r>
              <w:rPr>
                <w:sz w:val="18"/>
              </w:rPr>
              <w:t>「摘要未给损耗，正文有损耗预算表」</w:t>
            </w:r>
          </w:p>
        </w:tc>
        <w:tc>
          <w:tcPr>
            <w:tcW w:type="dxa" w:w="3061"/>
          </w:tcPr>
          <w:p>
            <w:pPr>
              <w:keepNext/>
              <w:spacing w:before="30" w:after="30" w:line="276" w:lineRule="auto"/>
              <w:jc w:val="left"/>
            </w:pPr>
            <w:r>
              <w:rPr>
                <w:sz w:val="18"/>
              </w:rPr>
              <w:t>披露在正文、不在摘要，读者无法从摘要判断可否复算</w:t>
            </w:r>
          </w:p>
        </w:tc>
        <w:tc>
          <w:tcPr>
            <w:tcW w:type="dxa" w:w="3288"/>
          </w:tcPr>
          <w:p>
            <w:pPr>
              <w:keepNext/>
              <w:spacing w:before="30" w:after="30" w:line="276" w:lineRule="auto"/>
              <w:jc w:val="left"/>
            </w:pPr>
            <w:r>
              <w:rPr>
                <w:sz w:val="18"/>
              </w:rPr>
              <w:t>按 7.2，应在摘要中注明表号或章节</w:t>
            </w:r>
          </w:p>
        </w:tc>
      </w:tr>
      <w:tr>
        <w:trPr>
          <w:cantSplit/>
        </w:trPr>
        <w:tc>
          <w:tcPr>
            <w:tcW w:type="dxa" w:w="3061"/>
            <w:shd w:val="clear" w:color="auto" w:fill="F7F9FC"/>
          </w:tcPr>
          <w:p>
            <w:pPr>
              <w:spacing w:before="30" w:after="30" w:line="276" w:lineRule="auto"/>
              <w:jc w:val="left"/>
            </w:pPr>
            <w:r>
              <w:rPr>
                <w:sz w:val="18"/>
              </w:rPr>
              <w:t>「全系统损耗 7 dB，观测压缩 4.6 dB」（含前置放大）</w:t>
            </w:r>
          </w:p>
        </w:tc>
        <w:tc>
          <w:tcPr>
            <w:tcW w:type="dxa" w:w="3061"/>
            <w:shd w:val="clear" w:color="auto" w:fill="F7F9FC"/>
          </w:tcPr>
          <w:p>
            <w:pPr>
              <w:spacing w:before="30" w:after="30" w:line="276" w:lineRule="auto"/>
              <w:jc w:val="left"/>
            </w:pPr>
            <w:r>
              <w:rPr>
                <w:sz w:val="18"/>
              </w:rPr>
              <w:t>不能代入式（1），代入会得负值</w:t>
            </w:r>
          </w:p>
        </w:tc>
        <w:tc>
          <w:tcPr>
            <w:tcW w:type="dxa" w:w="3288"/>
            <w:shd w:val="clear" w:color="auto" w:fill="F7F9FC"/>
          </w:tcPr>
          <w:p>
            <w:pPr>
              <w:spacing w:before="30" w:after="30" w:line="276" w:lineRule="auto"/>
              <w:jc w:val="left"/>
            </w:pPr>
            <w:r>
              <w:rPr>
                <w:sz w:val="18"/>
              </w:rPr>
              <w:t>按 8.1.3 另报增益 G 与放大器位置</w:t>
            </w:r>
          </w:p>
        </w:tc>
      </w:tr>
    </w:tbl>
    <w:p>
      <w:pPr>
        <w:keepNext/>
        <w:pBdr>
          <w:bottom w:val="single" w:sz="6" w:space="3" w:color="BFCEDD"/>
        </w:pBdr>
        <w:spacing w:before="400" w:after="160"/>
      </w:pPr>
      <w:r>
        <w:rPr>
          <w:rFonts w:ascii="PingFang SC" w:hAnsi="PingFang SC" w:eastAsia="PingFang SC"/>
          <w:b/>
          <w:color w:val="1F4E79"/>
          <w:sz w:val="26"/>
        </w:rPr>
        <w:t xml:space="preserve">附录 C  </w:t>
      </w:r>
      <w:r>
        <w:rPr>
          <w:rFonts w:ascii="PingFang SC" w:hAnsi="PingFang SC" w:eastAsia="PingFang SC"/>
          <w:b/>
          <w:color w:val="1F4E79"/>
          <w:sz w:val="26"/>
        </w:rPr>
        <w:t>（资料性附录）披露率试点抽样</w:t>
      </w:r>
    </w:p>
    <w:p>
      <w:pPr>
        <w:spacing w:before="0" w:after="120" w:line="372" w:lineRule="auto"/>
        <w:ind w:firstLine="420"/>
      </w:pPr>
      <w:r>
        <w:rPr>
          <w:rFonts w:ascii="Times New Roman" w:hAnsi="Times New Roman" w:eastAsia="Songti SC"/>
          <w:b w:val="0"/>
          <w:i w:val="0"/>
          <w:color w:val="1A1A1A"/>
          <w:sz w:val="21"/>
        </w:rPr>
        <w:t>C.1 本附录记录起草期间的一次小规模抽样，用于支撑 7.2 与 8.1.3 的写法。抽样规则、逐篇记录与原文措辞见随本文件提交的工作表（测试A_披露率抽样），此处仅列汇总。</w:t>
      </w:r>
    </w:p>
    <w:p>
      <w:pPr>
        <w:keepNext/>
        <w:spacing w:before="120" w:after="60"/>
      </w:pPr>
      <w:r>
        <w:rPr>
          <w:rFonts w:ascii="PingFang SC" w:hAnsi="PingFang SC" w:eastAsia="PingFang SC"/>
          <w:b/>
          <w:color w:val="1A1A1A"/>
          <w:sz w:val="19"/>
        </w:rPr>
        <w:t>表 C.1  试点抽样汇总</w:t>
      </w:r>
    </w:p>
    <w:tbl>
      <w:tblPr>
        <w:tblW w:w="9412" w:type="dxa"/>
        <w:jc w:val="center"/>
        <w:tblBorders>
          <w:top w:val="single" w:sz="4" w:space="0" w:color="C9D4E0"/>
          <w:left w:val="single" w:sz="4" w:space="0" w:color="C9D4E0"/>
          <w:bottom w:val="single" w:sz="4" w:space="0" w:color="C9D4E0"/>
          <w:right w:val="single" w:sz="4" w:space="0" w:color="C9D4E0"/>
          <w:insideH w:val="single" w:sz="4" w:space="0" w:color="C9D4E0"/>
          <w:insideV w:val="single" w:sz="4" w:space="0" w:color="C9D4E0"/>
        </w:tblBorders>
        <w:tblLayout w:type="fixed"/>
        <w:tblCellMar>
          <w:top w:w="50" w:type="dxa"/>
          <w:left w:w="90" w:type="dxa"/>
          <w:bottom w:w="50" w:type="dxa"/>
          <w:right w:w="90" w:type="dxa"/>
        </w:tblCellMar>
        <w:tblLook w:firstColumn="1" w:firstRow="1" w:lastColumn="0" w:lastRow="0" w:noHBand="0" w:noVBand="1" w:val="04A0"/>
      </w:tblPr>
      <w:tblGrid>
        <w:gridCol w:w="2835"/>
        <w:gridCol w:w="3742"/>
        <w:gridCol w:w="2835"/>
      </w:tblGrid>
      <w:tr>
        <w:trPr>
          <w:cantSplit/>
          <w:tblHeader/>
        </w:trPr>
        <w:tc>
          <w:tcPr>
            <w:tcW w:type="dxa" w:w="2835"/>
            <w:shd w:val="clear" w:color="auto" w:fill="DCE6F1"/>
          </w:tcPr>
          <w:p>
            <w:pPr>
              <w:spacing w:before="30" w:after="30" w:line="276" w:lineRule="auto"/>
              <w:jc w:val="left"/>
            </w:pPr>
            <w:r>
              <w:rPr>
                <w:b/>
                <w:color w:val="1F4E79"/>
                <w:sz w:val="18"/>
              </w:rPr>
              <w:t>项</w:t>
            </w:r>
          </w:p>
        </w:tc>
        <w:tc>
          <w:tcPr>
            <w:tcW w:type="dxa" w:w="3742"/>
            <w:shd w:val="clear" w:color="auto" w:fill="DCE6F1"/>
          </w:tcPr>
          <w:p>
            <w:pPr>
              <w:spacing w:before="30" w:after="30" w:line="276" w:lineRule="auto"/>
              <w:jc w:val="left"/>
            </w:pPr>
            <w:r>
              <w:rPr>
                <w:b/>
                <w:color w:val="1F4E79"/>
                <w:sz w:val="18"/>
              </w:rPr>
              <w:t>值</w:t>
            </w:r>
          </w:p>
        </w:tc>
        <w:tc>
          <w:tcPr>
            <w:tcW w:type="dxa" w:w="2835"/>
            <w:shd w:val="clear" w:color="auto" w:fill="DCE6F1"/>
          </w:tcPr>
          <w:p>
            <w:pPr>
              <w:spacing w:before="30" w:after="30" w:line="276" w:lineRule="auto"/>
              <w:jc w:val="left"/>
            </w:pPr>
            <w:r>
              <w:rPr>
                <w:b/>
                <w:color w:val="1F4E79"/>
                <w:sz w:val="18"/>
              </w:rPr>
              <w:t>说明</w:t>
            </w:r>
          </w:p>
        </w:tc>
      </w:tr>
      <w:tr>
        <w:trPr>
          <w:cantSplit/>
        </w:trPr>
        <w:tc>
          <w:tcPr>
            <w:tcW w:type="dxa" w:w="2835"/>
          </w:tcPr>
          <w:p>
            <w:pPr>
              <w:spacing w:before="30" w:after="30" w:line="276" w:lineRule="auto"/>
              <w:jc w:val="left"/>
            </w:pPr>
            <w:r>
              <w:rPr>
                <w:sz w:val="18"/>
              </w:rPr>
              <w:t>检索式</w:t>
            </w:r>
          </w:p>
        </w:tc>
        <w:tc>
          <w:tcPr>
            <w:tcW w:type="dxa" w:w="3742"/>
          </w:tcPr>
          <w:p>
            <w:pPr>
              <w:spacing w:before="30" w:after="30" w:line="276" w:lineRule="auto"/>
              <w:jc w:val="left"/>
            </w:pPr>
            <w:r>
              <w:rPr>
                <w:sz w:val="18"/>
              </w:rPr>
              <w:t>abs:"squeezed light" AND abs:experiment</w:t>
            </w:r>
          </w:p>
        </w:tc>
        <w:tc>
          <w:tcPr>
            <w:tcW w:type="dxa" w:w="2835"/>
          </w:tcPr>
          <w:p>
            <w:pPr>
              <w:spacing w:before="30" w:after="30" w:line="276" w:lineRule="auto"/>
              <w:jc w:val="left"/>
            </w:pPr>
            <w:r>
              <w:rPr>
                <w:sz w:val="18"/>
              </w:rPr>
              <w:t>arXiv，按提交日期倒序</w:t>
            </w:r>
          </w:p>
        </w:tc>
      </w:tr>
      <w:tr>
        <w:trPr>
          <w:cantSplit/>
        </w:trPr>
        <w:tc>
          <w:tcPr>
            <w:tcW w:type="dxa" w:w="2835"/>
            <w:shd w:val="clear" w:color="auto" w:fill="F7F9FC"/>
          </w:tcPr>
          <w:p>
            <w:pPr>
              <w:spacing w:before="30" w:after="30" w:line="276" w:lineRule="auto"/>
              <w:jc w:val="left"/>
            </w:pPr>
            <w:r>
              <w:rPr>
                <w:sz w:val="18"/>
              </w:rPr>
              <w:t>命中 / 读摘要 / 纳入</w:t>
            </w:r>
          </w:p>
        </w:tc>
        <w:tc>
          <w:tcPr>
            <w:tcW w:type="dxa" w:w="3742"/>
            <w:shd w:val="clear" w:color="auto" w:fill="F7F9FC"/>
          </w:tcPr>
          <w:p>
            <w:pPr>
              <w:spacing w:before="30" w:after="30" w:line="276" w:lineRule="auto"/>
              <w:jc w:val="left"/>
            </w:pPr>
            <w:r>
              <w:rPr>
                <w:sz w:val="18"/>
              </w:rPr>
              <w:t>83 / 80 / 30</w:t>
            </w:r>
          </w:p>
        </w:tc>
        <w:tc>
          <w:tcPr>
            <w:tcW w:type="dxa" w:w="2835"/>
            <w:shd w:val="clear" w:color="auto" w:fill="F7F9FC"/>
          </w:tcPr>
          <w:p>
            <w:pPr>
              <w:spacing w:before="30" w:after="30" w:line="276" w:lineRule="auto"/>
              <w:jc w:val="left"/>
            </w:pPr>
            <w:r>
              <w:rPr>
                <w:sz w:val="18"/>
              </w:rPr>
              <w:t>排除纯理论与无关者；覆盖 2002—2026</w:t>
            </w:r>
          </w:p>
        </w:tc>
      </w:tr>
      <w:tr>
        <w:trPr>
          <w:cantSplit/>
        </w:trPr>
        <w:tc>
          <w:tcPr>
            <w:tcW w:type="dxa" w:w="2835"/>
          </w:tcPr>
          <w:p>
            <w:pPr>
              <w:spacing w:before="30" w:after="30" w:line="276" w:lineRule="auto"/>
              <w:jc w:val="left"/>
            </w:pPr>
            <w:r>
              <w:rPr>
                <w:sz w:val="18"/>
              </w:rPr>
              <w:t>其中给出压缩数值</w:t>
            </w:r>
          </w:p>
        </w:tc>
        <w:tc>
          <w:tcPr>
            <w:tcW w:type="dxa" w:w="3742"/>
          </w:tcPr>
          <w:p>
            <w:pPr>
              <w:spacing w:before="30" w:after="30" w:line="276" w:lineRule="auto"/>
              <w:jc w:val="left"/>
            </w:pPr>
            <w:r>
              <w:rPr>
                <w:sz w:val="18"/>
              </w:rPr>
              <w:t>18</w:t>
            </w:r>
          </w:p>
        </w:tc>
        <w:tc>
          <w:tcPr>
            <w:tcW w:type="dxa" w:w="2835"/>
          </w:tcPr>
          <w:p>
            <w:pPr>
              <w:spacing w:before="30" w:after="30" w:line="276" w:lineRule="auto"/>
              <w:jc w:val="left"/>
            </w:pPr>
            <w:r>
              <w:rPr>
                <w:sz w:val="18"/>
              </w:rPr>
              <w:t>其余记「未在摘要」</w:t>
            </w:r>
          </w:p>
        </w:tc>
      </w:tr>
      <w:tr>
        <w:trPr>
          <w:cantSplit/>
        </w:trPr>
        <w:tc>
          <w:tcPr>
            <w:tcW w:type="dxa" w:w="2835"/>
            <w:shd w:val="clear" w:color="auto" w:fill="F7F9FC"/>
          </w:tcPr>
          <w:p>
            <w:pPr>
              <w:spacing w:before="30" w:after="30" w:line="276" w:lineRule="auto"/>
              <w:jc w:val="left"/>
            </w:pPr>
            <w:r>
              <w:rPr>
                <w:sz w:val="18"/>
              </w:rPr>
              <w:t>摘要级可核验 = 完整</w:t>
            </w:r>
          </w:p>
        </w:tc>
        <w:tc>
          <w:tcPr>
            <w:tcW w:type="dxa" w:w="3742"/>
            <w:shd w:val="clear" w:color="auto" w:fill="F7F9FC"/>
          </w:tcPr>
          <w:p>
            <w:pPr>
              <w:spacing w:before="30" w:after="30" w:line="276" w:lineRule="auto"/>
              <w:jc w:val="left"/>
            </w:pPr>
            <w:r>
              <w:rPr>
                <w:sz w:val="18"/>
              </w:rPr>
              <w:t>1（3%）</w:t>
            </w:r>
          </w:p>
        </w:tc>
        <w:tc>
          <w:tcPr>
            <w:tcW w:type="dxa" w:w="2835"/>
            <w:shd w:val="clear" w:color="auto" w:fill="F7F9FC"/>
          </w:tcPr>
          <w:p>
            <w:pPr>
              <w:spacing w:before="30" w:after="30" w:line="276" w:lineRule="auto"/>
              <w:jc w:val="left"/>
            </w:pPr>
            <w:r>
              <w:rPr>
                <w:sz w:val="18"/>
              </w:rPr>
              <w:t>同时给出压缩量与损耗／效率</w:t>
            </w:r>
          </w:p>
        </w:tc>
      </w:tr>
      <w:tr>
        <w:trPr>
          <w:cantSplit/>
        </w:trPr>
        <w:tc>
          <w:tcPr>
            <w:tcW w:type="dxa" w:w="2835"/>
          </w:tcPr>
          <w:p>
            <w:pPr>
              <w:spacing w:before="30" w:after="30" w:line="276" w:lineRule="auto"/>
              <w:jc w:val="left"/>
            </w:pPr>
            <w:r>
              <w:rPr>
                <w:sz w:val="18"/>
              </w:rPr>
              <w:t>摘要级 = 部分</w:t>
            </w:r>
          </w:p>
        </w:tc>
        <w:tc>
          <w:tcPr>
            <w:tcW w:type="dxa" w:w="3742"/>
          </w:tcPr>
          <w:p>
            <w:pPr>
              <w:spacing w:before="30" w:after="30" w:line="276" w:lineRule="auto"/>
              <w:jc w:val="left"/>
            </w:pPr>
            <w:r>
              <w:rPr>
                <w:sz w:val="18"/>
              </w:rPr>
              <w:t>6</w:t>
            </w:r>
          </w:p>
        </w:tc>
        <w:tc>
          <w:tcPr>
            <w:tcW w:type="dxa" w:w="2835"/>
          </w:tcPr>
          <w:p>
            <w:pPr>
              <w:spacing w:before="30" w:after="30" w:line="276" w:lineRule="auto"/>
              <w:jc w:val="left"/>
            </w:pPr>
            <w:r>
              <w:rPr>
                <w:sz w:val="18"/>
              </w:rPr>
            </w:r>
          </w:p>
        </w:tc>
      </w:tr>
      <w:tr>
        <w:trPr>
          <w:cantSplit/>
        </w:trPr>
        <w:tc>
          <w:tcPr>
            <w:tcW w:type="dxa" w:w="2835"/>
            <w:shd w:val="clear" w:color="auto" w:fill="F7F9FC"/>
          </w:tcPr>
          <w:p>
            <w:pPr>
              <w:spacing w:before="30" w:after="30" w:line="276" w:lineRule="auto"/>
              <w:jc w:val="left"/>
            </w:pPr>
            <w:r>
              <w:rPr>
                <w:sz w:val="18"/>
              </w:rPr>
              <w:t>摘要级 = 不可</w:t>
            </w:r>
          </w:p>
        </w:tc>
        <w:tc>
          <w:tcPr>
            <w:tcW w:type="dxa" w:w="3742"/>
            <w:shd w:val="clear" w:color="auto" w:fill="F7F9FC"/>
          </w:tcPr>
          <w:p>
            <w:pPr>
              <w:spacing w:before="30" w:after="30" w:line="276" w:lineRule="auto"/>
              <w:jc w:val="left"/>
            </w:pPr>
            <w:r>
              <w:rPr>
                <w:sz w:val="18"/>
              </w:rPr>
              <w:t>23</w:t>
            </w:r>
          </w:p>
        </w:tc>
        <w:tc>
          <w:tcPr>
            <w:tcW w:type="dxa" w:w="2835"/>
            <w:shd w:val="clear" w:color="auto" w:fill="F7F9FC"/>
          </w:tcPr>
          <w:p>
            <w:pPr>
              <w:spacing w:before="30" w:after="30" w:line="276" w:lineRule="auto"/>
              <w:jc w:val="left"/>
            </w:pPr>
            <w:r>
              <w:rPr>
                <w:sz w:val="18"/>
              </w:rPr>
            </w:r>
          </w:p>
        </w:tc>
      </w:tr>
      <w:tr>
        <w:trPr>
          <w:cantSplit/>
        </w:trPr>
        <w:tc>
          <w:tcPr>
            <w:tcW w:type="dxa" w:w="2835"/>
          </w:tcPr>
          <w:p>
            <w:pPr>
              <w:spacing w:before="30" w:after="30" w:line="276" w:lineRule="auto"/>
              <w:jc w:val="left"/>
            </w:pPr>
            <w:r>
              <w:rPr>
                <w:sz w:val="18"/>
              </w:rPr>
              <w:t>报附加噪声</w:t>
            </w:r>
          </w:p>
        </w:tc>
        <w:tc>
          <w:tcPr>
            <w:tcW w:type="dxa" w:w="3742"/>
          </w:tcPr>
          <w:p>
            <w:pPr>
              <w:spacing w:before="30" w:after="30" w:line="276" w:lineRule="auto"/>
              <w:jc w:val="left"/>
            </w:pPr>
            <w:r>
              <w:rPr>
                <w:sz w:val="18"/>
              </w:rPr>
              <w:t>0</w:t>
            </w:r>
          </w:p>
        </w:tc>
        <w:tc>
          <w:tcPr>
            <w:tcW w:type="dxa" w:w="2835"/>
          </w:tcPr>
          <w:p>
            <w:pPr>
              <w:spacing w:before="30" w:after="30" w:line="276" w:lineRule="auto"/>
              <w:jc w:val="left"/>
            </w:pPr>
            <w:r>
              <w:rPr>
                <w:sz w:val="18"/>
              </w:rPr>
              <w:t>30 篇中无一篇</w:t>
            </w:r>
          </w:p>
        </w:tc>
      </w:tr>
      <w:tr>
        <w:trPr>
          <w:cantSplit/>
        </w:trPr>
        <w:tc>
          <w:tcPr>
            <w:tcW w:type="dxa" w:w="2835"/>
            <w:shd w:val="clear" w:color="auto" w:fill="F7F9FC"/>
          </w:tcPr>
          <w:p>
            <w:pPr>
              <w:spacing w:before="30" w:after="30" w:line="276" w:lineRule="auto"/>
              <w:jc w:val="left"/>
            </w:pPr>
            <w:r>
              <w:rPr>
                <w:sz w:val="18"/>
              </w:rPr>
              <w:t>报不确定度</w:t>
            </w:r>
          </w:p>
        </w:tc>
        <w:tc>
          <w:tcPr>
            <w:tcW w:type="dxa" w:w="3742"/>
            <w:shd w:val="clear" w:color="auto" w:fill="F7F9FC"/>
          </w:tcPr>
          <w:p>
            <w:pPr>
              <w:spacing w:before="30" w:after="30" w:line="276" w:lineRule="auto"/>
              <w:jc w:val="left"/>
            </w:pPr>
            <w:r>
              <w:rPr>
                <w:sz w:val="18"/>
              </w:rPr>
              <w:t>5</w:t>
            </w:r>
          </w:p>
        </w:tc>
        <w:tc>
          <w:tcPr>
            <w:tcW w:type="dxa" w:w="2835"/>
            <w:shd w:val="clear" w:color="auto" w:fill="F7F9FC"/>
          </w:tcPr>
          <w:p>
            <w:pPr>
              <w:spacing w:before="30" w:after="30" w:line="276" w:lineRule="auto"/>
              <w:jc w:val="left"/>
            </w:pPr>
            <w:r>
              <w:rPr>
                <w:sz w:val="18"/>
              </w:rPr>
            </w:r>
          </w:p>
        </w:tc>
      </w:tr>
    </w:tbl>
    <w:p>
      <w:pPr>
        <w:spacing w:before="0" w:after="120" w:line="372" w:lineRule="auto"/>
        <w:ind w:firstLine="420"/>
      </w:pPr>
      <w:r>
        <w:rPr>
          <w:rFonts w:ascii="Times New Roman" w:hAnsi="Times New Roman" w:eastAsia="Songti SC"/>
          <w:b w:val="0"/>
          <w:i w:val="0"/>
          <w:color w:val="1A1A1A"/>
          <w:sz w:val="21"/>
        </w:rPr>
        <w:t>C.2 全文对照：从上述 18 篇中取 5 篇查阅全文，结果见表 C.2。</w:t>
      </w:r>
    </w:p>
    <w:p>
      <w:pPr>
        <w:keepNext/>
        <w:spacing w:before="120" w:after="60"/>
      </w:pPr>
      <w:r>
        <w:rPr>
          <w:rFonts w:ascii="PingFang SC" w:hAnsi="PingFang SC" w:eastAsia="PingFang SC"/>
          <w:b/>
          <w:color w:val="1A1A1A"/>
          <w:sz w:val="19"/>
        </w:rPr>
        <w:t>表 C.2  摘要层与正文层对照（n = 5）</w:t>
      </w:r>
    </w:p>
    <w:tbl>
      <w:tblPr>
        <w:tblW w:w="9412" w:type="dxa"/>
        <w:jc w:val="center"/>
        <w:tblBorders>
          <w:top w:val="single" w:sz="4" w:space="0" w:color="C9D4E0"/>
          <w:left w:val="single" w:sz="4" w:space="0" w:color="C9D4E0"/>
          <w:bottom w:val="single" w:sz="4" w:space="0" w:color="C9D4E0"/>
          <w:right w:val="single" w:sz="4" w:space="0" w:color="C9D4E0"/>
          <w:insideH w:val="single" w:sz="4" w:space="0" w:color="C9D4E0"/>
          <w:insideV w:val="single" w:sz="4" w:space="0" w:color="C9D4E0"/>
        </w:tblBorders>
        <w:tblLayout w:type="fixed"/>
        <w:tblCellMar>
          <w:top w:w="50" w:type="dxa"/>
          <w:left w:w="90" w:type="dxa"/>
          <w:bottom w:w="50" w:type="dxa"/>
          <w:right w:w="90" w:type="dxa"/>
        </w:tblCellMar>
        <w:tblLook w:firstColumn="1" w:firstRow="1" w:lastColumn="0" w:lastRow="0" w:noHBand="0" w:noVBand="1" w:val="04A0"/>
      </w:tblPr>
      <w:tblGrid>
        <w:gridCol w:w="1927"/>
        <w:gridCol w:w="1474"/>
        <w:gridCol w:w="1474"/>
        <w:gridCol w:w="4536"/>
      </w:tblGrid>
      <w:tr>
        <w:trPr>
          <w:cantSplit/>
          <w:tblHeader/>
        </w:trPr>
        <w:tc>
          <w:tcPr>
            <w:tcW w:type="dxa" w:w="1928"/>
            <w:shd w:val="clear" w:color="auto" w:fill="DCE6F1"/>
          </w:tcPr>
          <w:p>
            <w:pPr>
              <w:spacing w:before="30" w:after="30" w:line="276" w:lineRule="auto"/>
              <w:jc w:val="left"/>
            </w:pPr>
            <w:r>
              <w:rPr>
                <w:b/>
                <w:color w:val="1F4E79"/>
                <w:sz w:val="18"/>
              </w:rPr>
              <w:t>编号</w:t>
            </w:r>
          </w:p>
        </w:tc>
        <w:tc>
          <w:tcPr>
            <w:tcW w:type="dxa" w:w="1474"/>
            <w:shd w:val="clear" w:color="auto" w:fill="DCE6F1"/>
          </w:tcPr>
          <w:p>
            <w:pPr>
              <w:spacing w:before="30" w:after="30" w:line="276" w:lineRule="auto"/>
              <w:jc w:val="center"/>
            </w:pPr>
            <w:r>
              <w:rPr>
                <w:b/>
                <w:color w:val="1F4E79"/>
                <w:sz w:val="18"/>
              </w:rPr>
              <w:t>摘要层</w:t>
            </w:r>
          </w:p>
        </w:tc>
        <w:tc>
          <w:tcPr>
            <w:tcW w:type="dxa" w:w="1474"/>
            <w:shd w:val="clear" w:color="auto" w:fill="DCE6F1"/>
          </w:tcPr>
          <w:p>
            <w:pPr>
              <w:spacing w:before="30" w:after="30" w:line="276" w:lineRule="auto"/>
              <w:jc w:val="center"/>
            </w:pPr>
            <w:r>
              <w:rPr>
                <w:b/>
                <w:color w:val="1F4E79"/>
                <w:sz w:val="18"/>
              </w:rPr>
              <w:t>正文层</w:t>
            </w:r>
          </w:p>
        </w:tc>
        <w:tc>
          <w:tcPr>
            <w:tcW w:type="dxa" w:w="4535"/>
            <w:shd w:val="clear" w:color="auto" w:fill="DCE6F1"/>
          </w:tcPr>
          <w:p>
            <w:pPr>
              <w:spacing w:before="30" w:after="30" w:line="276" w:lineRule="auto"/>
              <w:jc w:val="left"/>
            </w:pPr>
            <w:r>
              <w:rPr>
                <w:b/>
                <w:color w:val="1F4E79"/>
                <w:sz w:val="18"/>
              </w:rPr>
              <w:t>正文给出的损耗／效率</w:t>
            </w:r>
          </w:p>
        </w:tc>
      </w:tr>
      <w:tr>
        <w:trPr>
          <w:cantSplit/>
        </w:trPr>
        <w:tc>
          <w:tcPr>
            <w:tcW w:type="dxa" w:w="1928"/>
          </w:tcPr>
          <w:p>
            <w:pPr>
              <w:spacing w:before="30" w:after="30" w:line="276" w:lineRule="auto"/>
              <w:jc w:val="left"/>
            </w:pPr>
            <w:r>
              <w:rPr>
                <w:sz w:val="18"/>
              </w:rPr>
              <w:t>Kwan 2025</w:t>
            </w:r>
          </w:p>
        </w:tc>
        <w:tc>
          <w:tcPr>
            <w:tcW w:type="dxa" w:w="1474"/>
          </w:tcPr>
          <w:p>
            <w:pPr>
              <w:spacing w:before="30" w:after="30" w:line="276" w:lineRule="auto"/>
              <w:jc w:val="center"/>
            </w:pPr>
            <w:r>
              <w:rPr>
                <w:sz w:val="18"/>
              </w:rPr>
              <w:t>完整</w:t>
            </w:r>
          </w:p>
        </w:tc>
        <w:tc>
          <w:tcPr>
            <w:tcW w:type="dxa" w:w="1474"/>
          </w:tcPr>
          <w:p>
            <w:pPr>
              <w:spacing w:before="30" w:after="30" w:line="276" w:lineRule="auto"/>
              <w:jc w:val="center"/>
            </w:pPr>
            <w:r>
              <w:rPr>
                <w:sz w:val="18"/>
              </w:rPr>
              <w:t>完整</w:t>
            </w:r>
          </w:p>
        </w:tc>
        <w:tc>
          <w:tcPr>
            <w:tcW w:type="dxa" w:w="4535"/>
          </w:tcPr>
          <w:p>
            <w:pPr>
              <w:spacing w:before="30" w:after="30" w:line="276" w:lineRule="auto"/>
              <w:jc w:val="left"/>
            </w:pPr>
            <w:r>
              <w:rPr>
                <w:sz w:val="18"/>
              </w:rPr>
              <w:t>探测效率 74% → 95%</w:t>
            </w:r>
          </w:p>
        </w:tc>
      </w:tr>
      <w:tr>
        <w:trPr>
          <w:cantSplit/>
        </w:trPr>
        <w:tc>
          <w:tcPr>
            <w:tcW w:type="dxa" w:w="1928"/>
            <w:shd w:val="clear" w:color="auto" w:fill="F7F9FC"/>
          </w:tcPr>
          <w:p>
            <w:pPr>
              <w:spacing w:before="30" w:after="30" w:line="276" w:lineRule="auto"/>
              <w:jc w:val="left"/>
            </w:pPr>
            <w:r>
              <w:rPr>
                <w:sz w:val="18"/>
              </w:rPr>
              <w:t>Lei 2026</w:t>
            </w:r>
          </w:p>
        </w:tc>
        <w:tc>
          <w:tcPr>
            <w:tcW w:type="dxa" w:w="1474"/>
            <w:shd w:val="clear" w:color="auto" w:fill="F7F9FC"/>
          </w:tcPr>
          <w:p>
            <w:pPr>
              <w:spacing w:before="30" w:after="30" w:line="276" w:lineRule="auto"/>
              <w:jc w:val="center"/>
            </w:pPr>
            <w:r>
              <w:rPr>
                <w:sz w:val="18"/>
              </w:rPr>
              <w:t>部分</w:t>
            </w:r>
          </w:p>
        </w:tc>
        <w:tc>
          <w:tcPr>
            <w:tcW w:type="dxa" w:w="1474"/>
            <w:shd w:val="clear" w:color="auto" w:fill="F7F9FC"/>
          </w:tcPr>
          <w:p>
            <w:pPr>
              <w:spacing w:before="30" w:after="30" w:line="276" w:lineRule="auto"/>
              <w:jc w:val="center"/>
            </w:pPr>
            <w:r>
              <w:rPr>
                <w:sz w:val="18"/>
              </w:rPr>
              <w:t>完整</w:t>
            </w:r>
          </w:p>
        </w:tc>
        <w:tc>
          <w:tcPr>
            <w:tcW w:type="dxa" w:w="4535"/>
            <w:shd w:val="clear" w:color="auto" w:fill="F7F9FC"/>
          </w:tcPr>
          <w:p>
            <w:pPr>
              <w:spacing w:before="30" w:after="30" w:line="276" w:lineRule="auto"/>
              <w:jc w:val="left"/>
            </w:pPr>
            <w:r>
              <w:rPr>
                <w:sz w:val="18"/>
              </w:rPr>
              <w:t>全系统损耗 7 dB（含前置放大）</w:t>
            </w:r>
          </w:p>
        </w:tc>
      </w:tr>
      <w:tr>
        <w:trPr>
          <w:cantSplit/>
        </w:trPr>
        <w:tc>
          <w:tcPr>
            <w:tcW w:type="dxa" w:w="1928"/>
          </w:tcPr>
          <w:p>
            <w:pPr>
              <w:spacing w:before="30" w:after="30" w:line="276" w:lineRule="auto"/>
              <w:jc w:val="left"/>
            </w:pPr>
            <w:r>
              <w:rPr>
                <w:sz w:val="18"/>
              </w:rPr>
              <w:t>Bergamin 2025</w:t>
            </w:r>
          </w:p>
        </w:tc>
        <w:tc>
          <w:tcPr>
            <w:tcW w:type="dxa" w:w="1474"/>
          </w:tcPr>
          <w:p>
            <w:pPr>
              <w:spacing w:before="30" w:after="30" w:line="276" w:lineRule="auto"/>
              <w:jc w:val="center"/>
            </w:pPr>
            <w:r>
              <w:rPr>
                <w:sz w:val="18"/>
              </w:rPr>
              <w:t>不可</w:t>
            </w:r>
          </w:p>
        </w:tc>
        <w:tc>
          <w:tcPr>
            <w:tcW w:type="dxa" w:w="1474"/>
          </w:tcPr>
          <w:p>
            <w:pPr>
              <w:spacing w:before="30" w:after="30" w:line="276" w:lineRule="auto"/>
              <w:jc w:val="center"/>
            </w:pPr>
            <w:r>
              <w:rPr>
                <w:sz w:val="18"/>
              </w:rPr>
              <w:t>完整</w:t>
            </w:r>
          </w:p>
        </w:tc>
        <w:tc>
          <w:tcPr>
            <w:tcW w:type="dxa" w:w="4535"/>
          </w:tcPr>
          <w:p>
            <w:pPr>
              <w:spacing w:before="30" w:after="30" w:line="276" w:lineRule="auto"/>
              <w:jc w:val="left"/>
            </w:pPr>
            <w:r>
              <w:rPr>
                <w:sz w:val="18"/>
              </w:rPr>
              <w:t>损耗预算表，合计 17.2%</w:t>
            </w:r>
          </w:p>
        </w:tc>
      </w:tr>
      <w:tr>
        <w:trPr>
          <w:cantSplit/>
        </w:trPr>
        <w:tc>
          <w:tcPr>
            <w:tcW w:type="dxa" w:w="1928"/>
            <w:shd w:val="clear" w:color="auto" w:fill="F7F9FC"/>
          </w:tcPr>
          <w:p>
            <w:pPr>
              <w:spacing w:before="30" w:after="30" w:line="276" w:lineRule="auto"/>
              <w:jc w:val="left"/>
            </w:pPr>
            <w:r>
              <w:rPr>
                <w:sz w:val="18"/>
              </w:rPr>
              <w:t>Gao 2024</w:t>
            </w:r>
          </w:p>
        </w:tc>
        <w:tc>
          <w:tcPr>
            <w:tcW w:type="dxa" w:w="1474"/>
            <w:shd w:val="clear" w:color="auto" w:fill="F7F9FC"/>
          </w:tcPr>
          <w:p>
            <w:pPr>
              <w:spacing w:before="30" w:after="30" w:line="276" w:lineRule="auto"/>
              <w:jc w:val="center"/>
            </w:pPr>
            <w:r>
              <w:rPr>
                <w:sz w:val="18"/>
              </w:rPr>
              <w:t>不可</w:t>
            </w:r>
          </w:p>
        </w:tc>
        <w:tc>
          <w:tcPr>
            <w:tcW w:type="dxa" w:w="1474"/>
            <w:shd w:val="clear" w:color="auto" w:fill="F7F9FC"/>
          </w:tcPr>
          <w:p>
            <w:pPr>
              <w:spacing w:before="30" w:after="30" w:line="276" w:lineRule="auto"/>
              <w:jc w:val="center"/>
            </w:pPr>
            <w:r>
              <w:rPr>
                <w:sz w:val="18"/>
              </w:rPr>
              <w:t>完整</w:t>
            </w:r>
          </w:p>
        </w:tc>
        <w:tc>
          <w:tcPr>
            <w:tcW w:type="dxa" w:w="4535"/>
            <w:shd w:val="clear" w:color="auto" w:fill="F7F9FC"/>
          </w:tcPr>
          <w:p>
            <w:pPr>
              <w:spacing w:before="30" w:after="30" w:line="276" w:lineRule="auto"/>
              <w:jc w:val="left"/>
            </w:pPr>
            <w:r>
              <w:rPr>
                <w:sz w:val="18"/>
              </w:rPr>
              <w:t>总效率 η_tot = 90.3%</w:t>
            </w:r>
          </w:p>
        </w:tc>
      </w:tr>
      <w:tr>
        <w:trPr>
          <w:cantSplit/>
        </w:trPr>
        <w:tc>
          <w:tcPr>
            <w:tcW w:type="dxa" w:w="1928"/>
          </w:tcPr>
          <w:p>
            <w:pPr>
              <w:spacing w:before="30" w:after="30" w:line="276" w:lineRule="auto"/>
              <w:jc w:val="left"/>
            </w:pPr>
            <w:r>
              <w:rPr>
                <w:sz w:val="18"/>
              </w:rPr>
              <w:t>Jin 2023</w:t>
            </w:r>
          </w:p>
        </w:tc>
        <w:tc>
          <w:tcPr>
            <w:tcW w:type="dxa" w:w="1474"/>
          </w:tcPr>
          <w:p>
            <w:pPr>
              <w:spacing w:before="30" w:after="30" w:line="276" w:lineRule="auto"/>
              <w:jc w:val="center"/>
            </w:pPr>
            <w:r>
              <w:rPr>
                <w:sz w:val="18"/>
              </w:rPr>
              <w:t>不可</w:t>
            </w:r>
          </w:p>
        </w:tc>
        <w:tc>
          <w:tcPr>
            <w:tcW w:type="dxa" w:w="1474"/>
          </w:tcPr>
          <w:p>
            <w:pPr>
              <w:spacing w:before="30" w:after="30" w:line="276" w:lineRule="auto"/>
              <w:jc w:val="center"/>
            </w:pPr>
            <w:r>
              <w:rPr>
                <w:sz w:val="18"/>
              </w:rPr>
              <w:t>部分</w:t>
            </w:r>
          </w:p>
        </w:tc>
        <w:tc>
          <w:tcPr>
            <w:tcW w:type="dxa" w:w="4535"/>
          </w:tcPr>
          <w:p>
            <w:pPr>
              <w:spacing w:before="30" w:after="30" w:line="276" w:lineRule="auto"/>
              <w:jc w:val="left"/>
            </w:pPr>
            <w:r>
              <w:rPr>
                <w:sz w:val="18"/>
              </w:rPr>
              <w:t>仅给分项：胞壁反射约 12%</w:t>
            </w:r>
          </w:p>
        </w:tc>
      </w:tr>
    </w:tbl>
    <w:p>
      <w:pPr>
        <w:spacing w:before="60" w:after="180" w:line="324" w:lineRule="auto"/>
      </w:pPr>
      <w:r>
        <w:rPr>
          <w:rFonts w:ascii="Times New Roman" w:hAnsi="Times New Roman" w:eastAsia="Songti SC"/>
          <w:color w:val="5A5A5A"/>
          <w:sz w:val="18"/>
        </w:rPr>
        <w:t>摘要层完整 1/5（20%）；正文层完整 4/5（80%）；正文层完整或部分 5/5（100%）。</w:t>
      </w:r>
    </w:p>
    <w:p>
      <w:pPr>
        <w:spacing w:before="0" w:after="120" w:line="372" w:lineRule="auto"/>
        <w:ind w:firstLine="420"/>
      </w:pPr>
      <w:r>
        <w:rPr>
          <w:rFonts w:ascii="Times New Roman" w:hAnsi="Times New Roman" w:eastAsia="Songti SC"/>
          <w:b w:val="0"/>
          <w:i w:val="0"/>
          <w:color w:val="1A1A1A"/>
          <w:sz w:val="21"/>
        </w:rPr>
        <w:t>C.3 两点结论：</w:t>
      </w:r>
    </w:p>
    <w:p>
      <w:pPr>
        <w:spacing w:before="40" w:after="60" w:line="360" w:lineRule="auto"/>
        <w:ind w:left="510" w:hanging="510"/>
      </w:pPr>
      <w:r>
        <w:rPr>
          <w:rFonts w:ascii="PingFang SC" w:hAnsi="PingFang SC" w:eastAsia="PingFang SC"/>
          <w:color w:val="1F4E79"/>
          <w:sz w:val="21"/>
        </w:rPr>
        <w:t xml:space="preserve">C.3.1  </w:t>
      </w:r>
      <w:r>
        <w:rPr>
          <w:rFonts w:ascii="Songti SC" w:hAnsi="Songti SC" w:eastAsia="Songti SC"/>
          <w:sz w:val="21"/>
        </w:rPr>
        <w:t>损耗数据在正文中普遍存在，缺的是摘要级的定位信息。故 7.2 要求「给出或注明位置」，而非要求补做测量或补写正文。</w:t>
      </w:r>
    </w:p>
    <w:p>
      <w:pPr>
        <w:spacing w:before="40" w:after="60" w:line="360" w:lineRule="auto"/>
        <w:ind w:left="510" w:hanging="510"/>
      </w:pPr>
      <w:r>
        <w:rPr>
          <w:rFonts w:ascii="PingFang SC" w:hAnsi="PingFang SC" w:eastAsia="PingFang SC"/>
          <w:color w:val="1F4E79"/>
          <w:sz w:val="21"/>
        </w:rPr>
        <w:t xml:space="preserve">C.3.2  </w:t>
      </w:r>
      <w:r>
        <w:rPr>
          <w:rFonts w:ascii="Songti SC" w:hAnsi="Songti SC" w:eastAsia="Songti SC"/>
          <w:sz w:val="21"/>
        </w:rPr>
        <w:t>含前置放大的链路不能用式（1）复算——试点中出现「总损耗 7 dB、观测压缩 4.6 dB」而代入得负值的情形。故增设 8.1.3 与 8.1.4，要求另报增益与放大器位置。</w:t>
      </w:r>
    </w:p>
    <w:p>
      <w:pPr>
        <w:spacing w:before="0" w:after="120" w:line="372" w:lineRule="auto"/>
        <w:ind w:firstLine="420"/>
      </w:pPr>
      <w:r>
        <w:rPr>
          <w:rFonts w:ascii="Times New Roman" w:hAnsi="Times New Roman" w:eastAsia="Songti SC"/>
          <w:b w:val="0"/>
          <w:i w:val="0"/>
          <w:color w:val="1A1A1A"/>
          <w:sz w:val="21"/>
        </w:rPr>
        <w:t>C.4 本附录为资料性，其数值来自一次试点，不作为符合性判定的依据。</w:t>
      </w:r>
    </w:p>
    <w:p>
      <w:pPr>
        <w:keepNext/>
        <w:pBdr>
          <w:bottom w:val="single" w:sz="6" w:space="3" w:color="BFCEDD"/>
        </w:pBdr>
        <w:spacing w:before="400" w:after="160"/>
      </w:pPr>
      <w:r>
        <w:rPr>
          <w:rFonts w:ascii="PingFang SC" w:hAnsi="PingFang SC" w:eastAsia="PingFang SC"/>
          <w:b/>
          <w:color w:val="1F4E79"/>
          <w:sz w:val="26"/>
        </w:rPr>
        <w:t>参考文献</w:t>
      </w:r>
    </w:p>
    <w:p>
      <w:pPr>
        <w:spacing w:before="20" w:after="60" w:line="324" w:lineRule="auto"/>
        <w:ind w:left="510" w:hanging="510"/>
      </w:pPr>
      <w:r>
        <w:rPr>
          <w:rFonts w:ascii="Songti SC" w:hAnsi="Songti SC" w:eastAsia="Songti SC"/>
          <w:color w:val="5A5A5A"/>
          <w:sz w:val="18"/>
        </w:rPr>
        <w:t>[1] GB/T 1.1—2020  标准化工作导则　第 1 部分：标准化文件的结构和起草规则</w:t>
      </w:r>
    </w:p>
    <w:p>
      <w:pPr>
        <w:spacing w:before="20" w:after="60" w:line="324" w:lineRule="auto"/>
        <w:ind w:left="510" w:hanging="510"/>
      </w:pPr>
      <w:r>
        <w:rPr>
          <w:rFonts w:ascii="Songti SC" w:hAnsi="Songti SC" w:eastAsia="Songti SC"/>
          <w:color w:val="5A5A5A"/>
          <w:sz w:val="18"/>
        </w:rPr>
        <w:t>[2] JJF 1001—2011  通用计量术语及定义</w:t>
      </w:r>
    </w:p>
    <w:p>
      <w:pPr>
        <w:spacing w:before="20" w:after="60" w:line="324" w:lineRule="auto"/>
        <w:ind w:left="510" w:hanging="510"/>
      </w:pPr>
      <w:r>
        <w:rPr>
          <w:rFonts w:ascii="Songti SC" w:hAnsi="Songti SC" w:eastAsia="Songti SC"/>
          <w:color w:val="5A5A5A"/>
          <w:sz w:val="18"/>
        </w:rPr>
        <w:t>[3] ISO/IEC Guide 99:2007  International vocabulary of metrology (VIM)</w:t>
      </w:r>
    </w:p>
    <w:p>
      <w:pPr>
        <w:spacing w:before="20" w:after="60" w:line="324" w:lineRule="auto"/>
        <w:ind w:left="510" w:hanging="510"/>
      </w:pPr>
      <w:r>
        <w:rPr>
          <w:rFonts w:ascii="Songti SC" w:hAnsi="Songti SC" w:eastAsia="Songti SC"/>
          <w:color w:val="5A5A5A"/>
          <w:sz w:val="18"/>
        </w:rPr>
        <w:t>[4] C. M. Caves, Quantum limits on noise in linear amplifiers, Phys. Rev. D 26, 1817 (1982).</w:t>
      </w:r>
    </w:p>
    <w:p>
      <w:pPr>
        <w:spacing w:before="20" w:after="60" w:line="324" w:lineRule="auto"/>
        <w:ind w:left="510" w:hanging="510"/>
      </w:pPr>
      <w:r>
        <w:rPr>
          <w:rFonts w:ascii="Songti SC" w:hAnsi="Songti SC" w:eastAsia="Songti SC"/>
          <w:color w:val="5A5A5A"/>
          <w:sz w:val="18"/>
        </w:rPr>
        <w:t>[5] M. Tse et al., Quantum-enhanced advanced LIGO detectors in the era of gravitational-wave astronomy, Phys. Rev. Lett. 123, 231107 (2019).</w:t>
      </w:r>
    </w:p>
    <w:p>
      <w:pPr>
        <w:spacing w:before="20" w:after="60" w:line="324" w:lineRule="auto"/>
        <w:ind w:left="510" w:hanging="510"/>
      </w:pPr>
      <w:r>
        <w:rPr>
          <w:rFonts w:ascii="Songti SC" w:hAnsi="Songti SC" w:eastAsia="Songti SC"/>
          <w:color w:val="5A5A5A"/>
          <w:sz w:val="18"/>
        </w:rPr>
        <w:t>[6] W. Langbein, No exceptional precision of exceptional-point sensors, Phys. Rev. A 98, 023805 (2018).</w:t>
      </w:r>
    </w:p>
    <w:sectPr w:rsidR="00FC693F" w:rsidRPr="0006063C" w:rsidSect="00034616">
      <w:footerReference w:type="default" r:id="rId9"/>
      <w:pgSz w:w="11906" w:h="16838"/>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Songti SC"/>
        <w:color w:val="5A5A5A"/>
        <w:sz w:val="16"/>
      </w:rPr>
      <w:t>T/×××—2026 · 草案 · 工作组稿</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Songti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